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C50A14" w14:textId="77777777" w:rsidR="005B5CAB" w:rsidRDefault="005B5CAB" w:rsidP="00A01494">
      <w:pPr>
        <w:tabs>
          <w:tab w:val="left" w:pos="100"/>
        </w:tabs>
        <w:ind w:left="100" w:firstLine="800"/>
        <w:rPr>
          <w:b/>
          <w:color w:val="00529C"/>
          <w:sz w:val="40"/>
        </w:rPr>
      </w:pPr>
      <w:bookmarkStart w:id="0" w:name="_Hlk77258187"/>
      <w:bookmarkStart w:id="1" w:name="_Hlk77258164"/>
    </w:p>
    <w:p w14:paraId="60BF3971" w14:textId="6BAFD2C6" w:rsidR="00C21983" w:rsidRPr="00C21983" w:rsidRDefault="00C21983" w:rsidP="00AD1A9D">
      <w:pPr>
        <w:pStyle w:val="TitleNTP"/>
        <w:spacing w:before="2520"/>
      </w:pPr>
      <w:r>
        <w:t>Cantidades de Medicare para 2025</w:t>
      </w:r>
    </w:p>
    <w:p w14:paraId="18A6F245" w14:textId="77777777" w:rsidR="00C21983" w:rsidRPr="003961C6" w:rsidRDefault="00C21983" w:rsidP="004B1D44">
      <w:pPr>
        <w:pStyle w:val="Heading1"/>
        <w:rPr>
          <w:rFonts w:asciiTheme="minorHAnsi" w:hAnsiTheme="minorHAnsi" w:cstheme="minorHAnsi"/>
          <w:b/>
          <w:bCs/>
          <w:color w:val="00529C"/>
          <w:sz w:val="28"/>
          <w:szCs w:val="28"/>
        </w:rPr>
      </w:pPr>
      <w:r>
        <w:rPr>
          <w:rFonts w:asciiTheme="minorHAnsi" w:hAnsiTheme="minorHAnsi"/>
          <w:b/>
          <w:color w:val="00529C"/>
          <w:sz w:val="28"/>
        </w:rPr>
        <w:t>Costos de Medicare Parte A (Seguro de Hospital)</w:t>
      </w:r>
    </w:p>
    <w:p w14:paraId="57A8F5BD" w14:textId="77777777" w:rsidR="00C21983" w:rsidRPr="00C21983" w:rsidRDefault="00C21983" w:rsidP="004B1D44">
      <w:pPr>
        <w:pStyle w:val="Heading2NTP"/>
        <w:spacing w:before="0" w:after="120"/>
      </w:pPr>
      <w:r>
        <w:t>Prima mensual:</w:t>
      </w:r>
    </w:p>
    <w:p w14:paraId="07E8481A" w14:textId="42794FE7" w:rsidR="00C21983" w:rsidRPr="0051538C" w:rsidRDefault="00D532C6" w:rsidP="004B1D44">
      <w:pPr>
        <w:numPr>
          <w:ilvl w:val="0"/>
          <w:numId w:val="38"/>
        </w:numPr>
        <w:spacing w:after="120"/>
        <w:ind w:left="360" w:right="634" w:hanging="180"/>
        <w:rPr>
          <w:rFonts w:asciiTheme="minorHAnsi" w:hAnsiTheme="minorHAnsi" w:cstheme="minorHAnsi"/>
          <w:b/>
          <w:sz w:val="23"/>
          <w:szCs w:val="23"/>
        </w:rPr>
      </w:pPr>
      <w:bookmarkStart w:id="2" w:name="_Hlk147403112"/>
      <w:r w:rsidRPr="0051538C">
        <w:rPr>
          <w:rFonts w:asciiTheme="minorHAnsi" w:hAnsiTheme="minorHAnsi"/>
          <w:b/>
          <w:sz w:val="23"/>
          <w:szCs w:val="23"/>
        </w:rPr>
        <w:t>$0 para la mayoría de las personas </w:t>
      </w:r>
      <w:r w:rsidRPr="0051538C">
        <w:rPr>
          <w:rFonts w:asciiTheme="minorHAnsi" w:hAnsiTheme="minorHAnsi"/>
          <w:sz w:val="23"/>
          <w:szCs w:val="23"/>
        </w:rPr>
        <w:t xml:space="preserve">(porque la persona o un cónyuge pagaba impuestos de Medicare durante suficiente tiempo cuando trabajaba - generalmente, al menos 10 años). Si usted obtiene Medicare antes de cumplir 65 años, no pagará ninguna prima para la Parte A. A veces, esto se denomina </w:t>
      </w:r>
      <w:r w:rsidR="00B14B06" w:rsidRPr="0051538C">
        <w:rPr>
          <w:rFonts w:asciiTheme="minorHAnsi" w:hAnsiTheme="minorHAnsi"/>
          <w:sz w:val="23"/>
          <w:szCs w:val="23"/>
        </w:rPr>
        <w:t>“</w:t>
      </w:r>
      <w:r w:rsidRPr="0051538C">
        <w:rPr>
          <w:rFonts w:asciiTheme="minorHAnsi" w:hAnsiTheme="minorHAnsi"/>
          <w:sz w:val="23"/>
          <w:szCs w:val="23"/>
        </w:rPr>
        <w:t>Parte A sin prima</w:t>
      </w:r>
      <w:r w:rsidR="00B14B06" w:rsidRPr="0051538C">
        <w:rPr>
          <w:rFonts w:asciiTheme="minorHAnsi" w:hAnsiTheme="minorHAnsi"/>
          <w:sz w:val="23"/>
          <w:szCs w:val="23"/>
        </w:rPr>
        <w:t>”</w:t>
      </w:r>
      <w:r w:rsidRPr="0051538C">
        <w:rPr>
          <w:rFonts w:asciiTheme="minorHAnsi" w:hAnsiTheme="minorHAnsi"/>
          <w:sz w:val="23"/>
          <w:szCs w:val="23"/>
        </w:rPr>
        <w:t>.</w:t>
      </w:r>
    </w:p>
    <w:bookmarkEnd w:id="2"/>
    <w:p w14:paraId="7522CB42" w14:textId="77777777" w:rsidR="00C21983" w:rsidRPr="0051538C" w:rsidRDefault="00C21983" w:rsidP="004B1D44">
      <w:pPr>
        <w:numPr>
          <w:ilvl w:val="0"/>
          <w:numId w:val="38"/>
        </w:numPr>
        <w:spacing w:after="120"/>
        <w:ind w:left="360" w:right="634" w:hanging="180"/>
        <w:rPr>
          <w:rFonts w:asciiTheme="minorHAnsi" w:hAnsiTheme="minorHAnsi" w:cstheme="minorHAnsi"/>
          <w:bCs/>
          <w:sz w:val="23"/>
          <w:szCs w:val="23"/>
        </w:rPr>
      </w:pPr>
      <w:r w:rsidRPr="0051538C">
        <w:rPr>
          <w:rFonts w:asciiTheme="minorHAnsi" w:hAnsiTheme="minorHAnsi"/>
          <w:b/>
          <w:bCs/>
          <w:sz w:val="23"/>
          <w:szCs w:val="23"/>
        </w:rPr>
        <w:t xml:space="preserve">Si usted no es elegible para la </w:t>
      </w:r>
      <w:r w:rsidRPr="0051538C">
        <w:rPr>
          <w:rFonts w:asciiTheme="minorHAnsi" w:hAnsiTheme="minorHAnsi"/>
          <w:b/>
          <w:sz w:val="23"/>
          <w:szCs w:val="23"/>
        </w:rPr>
        <w:t>Parte A sin prima,</w:t>
      </w:r>
      <w:r w:rsidRPr="0051538C">
        <w:rPr>
          <w:rFonts w:asciiTheme="minorHAnsi" w:hAnsiTheme="minorHAnsi"/>
          <w:sz w:val="23"/>
          <w:szCs w:val="23"/>
        </w:rPr>
        <w:t xml:space="preserve"> es posible que pueda comprarla.</w:t>
      </w:r>
      <w:r w:rsidRPr="0051538C">
        <w:rPr>
          <w:rFonts w:asciiTheme="minorHAnsi" w:hAnsiTheme="minorHAnsi"/>
          <w:b/>
          <w:sz w:val="23"/>
          <w:szCs w:val="23"/>
        </w:rPr>
        <w:t xml:space="preserve"> </w:t>
      </w:r>
      <w:r w:rsidRPr="0051538C">
        <w:rPr>
          <w:rFonts w:asciiTheme="minorHAnsi" w:hAnsiTheme="minorHAnsi"/>
          <w:sz w:val="23"/>
          <w:szCs w:val="23"/>
        </w:rPr>
        <w:t>Cada mes, pagará una prima de:</w:t>
      </w:r>
    </w:p>
    <w:p w14:paraId="52DC9D8F" w14:textId="5B57C692" w:rsidR="00C21983" w:rsidRPr="0051538C" w:rsidRDefault="00C21983" w:rsidP="004B1D44">
      <w:pPr>
        <w:numPr>
          <w:ilvl w:val="1"/>
          <w:numId w:val="38"/>
        </w:numPr>
        <w:spacing w:after="120"/>
        <w:ind w:left="720" w:right="634" w:hanging="180"/>
        <w:rPr>
          <w:rFonts w:asciiTheme="minorHAnsi" w:hAnsiTheme="minorHAnsi" w:cstheme="minorHAnsi"/>
          <w:bCs/>
          <w:sz w:val="23"/>
          <w:szCs w:val="23"/>
        </w:rPr>
      </w:pPr>
      <w:r w:rsidRPr="0051538C">
        <w:rPr>
          <w:rFonts w:asciiTheme="minorHAnsi" w:hAnsiTheme="minorHAnsi"/>
          <w:b/>
          <w:sz w:val="23"/>
          <w:szCs w:val="23"/>
        </w:rPr>
        <w:t xml:space="preserve">$285 </w:t>
      </w:r>
      <w:r w:rsidRPr="0051538C">
        <w:rPr>
          <w:rFonts w:asciiTheme="minorHAnsi" w:hAnsiTheme="minorHAnsi"/>
          <w:sz w:val="23"/>
          <w:szCs w:val="23"/>
        </w:rPr>
        <w:t>si pagó impuestos de Medicare para 30–39 trimestres de trabajo</w:t>
      </w:r>
    </w:p>
    <w:p w14:paraId="74955714" w14:textId="4F6BF079" w:rsidR="00C21983" w:rsidRPr="0051538C" w:rsidRDefault="00C21983" w:rsidP="004B1D44">
      <w:pPr>
        <w:numPr>
          <w:ilvl w:val="1"/>
          <w:numId w:val="38"/>
        </w:numPr>
        <w:spacing w:after="120"/>
        <w:ind w:left="720" w:right="634" w:hanging="180"/>
        <w:rPr>
          <w:rFonts w:asciiTheme="minorHAnsi" w:hAnsiTheme="minorHAnsi" w:cstheme="minorHAnsi"/>
          <w:bCs/>
          <w:sz w:val="23"/>
          <w:szCs w:val="23"/>
        </w:rPr>
      </w:pPr>
      <w:r w:rsidRPr="0051538C">
        <w:rPr>
          <w:rFonts w:asciiTheme="minorHAnsi" w:hAnsiTheme="minorHAnsi"/>
          <w:b/>
          <w:sz w:val="23"/>
          <w:szCs w:val="23"/>
        </w:rPr>
        <w:t xml:space="preserve">$518 </w:t>
      </w:r>
      <w:r w:rsidRPr="0051538C">
        <w:rPr>
          <w:rFonts w:asciiTheme="minorHAnsi" w:hAnsiTheme="minorHAnsi"/>
          <w:sz w:val="23"/>
          <w:szCs w:val="23"/>
        </w:rPr>
        <w:t>si pagó impuestos de Medicare para menos de 30 trimestres de trabajo</w:t>
      </w:r>
    </w:p>
    <w:p w14:paraId="203A9C32" w14:textId="72D8E959" w:rsidR="00C21983" w:rsidRPr="0051538C" w:rsidRDefault="00C21983" w:rsidP="00B14B06">
      <w:pPr>
        <w:ind w:left="547" w:right="450"/>
        <w:rPr>
          <w:rFonts w:asciiTheme="minorHAnsi" w:hAnsiTheme="minorHAnsi" w:cstheme="minorHAnsi"/>
          <w:sz w:val="23"/>
          <w:szCs w:val="23"/>
        </w:rPr>
      </w:pPr>
      <w:r w:rsidRPr="0051538C">
        <w:rPr>
          <w:rFonts w:asciiTheme="minorHAnsi" w:hAnsiTheme="minorHAnsi"/>
          <w:b/>
          <w:sz w:val="23"/>
          <w:szCs w:val="23"/>
        </w:rPr>
        <w:t>Multa por inscripción tardía en la Parte A:</w:t>
      </w:r>
      <w:r w:rsidRPr="0051538C">
        <w:rPr>
          <w:rFonts w:asciiTheme="minorHAnsi" w:hAnsiTheme="minorHAnsi"/>
          <w:sz w:val="23"/>
          <w:szCs w:val="23"/>
        </w:rPr>
        <w:t xml:space="preserve"> Si no la compra cuando sea elegible para Medicare por primera vez (usualmente cuando cumple </w:t>
      </w:r>
      <w:r w:rsidR="00DB78DE">
        <w:rPr>
          <w:rFonts w:asciiTheme="minorHAnsi" w:hAnsiTheme="minorHAnsi"/>
          <w:sz w:val="23"/>
          <w:szCs w:val="23"/>
        </w:rPr>
        <w:br/>
      </w:r>
      <w:r w:rsidRPr="0051538C">
        <w:rPr>
          <w:rFonts w:asciiTheme="minorHAnsi" w:hAnsiTheme="minorHAnsi"/>
          <w:sz w:val="23"/>
          <w:szCs w:val="23"/>
        </w:rPr>
        <w:t xml:space="preserve">65 años), su prima mensual podría aumentar hasta un 10%. Tendrá que pagar la multa durante el doble del número de años en los que no </w:t>
      </w:r>
      <w:r w:rsidR="00DB78DE">
        <w:rPr>
          <w:rFonts w:asciiTheme="minorHAnsi" w:hAnsiTheme="minorHAnsi"/>
          <w:sz w:val="23"/>
          <w:szCs w:val="23"/>
        </w:rPr>
        <w:br/>
      </w:r>
      <w:r w:rsidRPr="0051538C">
        <w:rPr>
          <w:rFonts w:asciiTheme="minorHAnsi" w:hAnsiTheme="minorHAnsi"/>
          <w:sz w:val="23"/>
          <w:szCs w:val="23"/>
        </w:rPr>
        <w:t>se inscribió.</w:t>
      </w:r>
    </w:p>
    <w:p w14:paraId="67C3B051" w14:textId="77777777" w:rsidR="00C21983" w:rsidRPr="00C21983" w:rsidRDefault="00C21983" w:rsidP="004B1D44">
      <w:pPr>
        <w:pStyle w:val="Heading2NTP"/>
        <w:spacing w:after="120"/>
      </w:pPr>
      <w:r>
        <w:t>Costos de la Parte A si tiene Medicare Original</w:t>
      </w:r>
    </w:p>
    <w:tbl>
      <w:tblPr>
        <w:tblStyle w:val="GridTable4-Accent11"/>
        <w:tblW w:w="5000" w:type="pct"/>
        <w:tblLook w:val="04A0" w:firstRow="1" w:lastRow="0" w:firstColumn="1" w:lastColumn="0" w:noHBand="0" w:noVBand="1"/>
      </w:tblPr>
      <w:tblGrid>
        <w:gridCol w:w="2426"/>
        <w:gridCol w:w="11964"/>
      </w:tblGrid>
      <w:tr w:rsidR="00C21983" w:rsidRPr="00C21983" w14:paraId="410EC7AF" w14:textId="77777777" w:rsidTr="000C7DC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3" w:type="pct"/>
            <w:vAlign w:val="center"/>
          </w:tcPr>
          <w:p w14:paraId="59500863" w14:textId="77777777" w:rsidR="00C21983" w:rsidRPr="004B1D44" w:rsidRDefault="00C21983" w:rsidP="004B1D44">
            <w:pPr>
              <w:ind w:right="907"/>
              <w:jc w:val="center"/>
              <w:rPr>
                <w:rFonts w:asciiTheme="minorHAnsi" w:eastAsia="Times New Roman" w:hAnsiTheme="minorHAnsi" w:cstheme="minorHAnsi"/>
                <w:sz w:val="28"/>
                <w:szCs w:val="28"/>
              </w:rPr>
            </w:pPr>
            <w:bookmarkStart w:id="3" w:name="_Hlk88072652"/>
            <w:r>
              <w:rPr>
                <w:rFonts w:asciiTheme="minorHAnsi" w:hAnsiTheme="minorHAnsi"/>
                <w:sz w:val="28"/>
              </w:rPr>
              <w:t>Costo</w:t>
            </w:r>
          </w:p>
        </w:tc>
        <w:tc>
          <w:tcPr>
            <w:tcW w:w="4157" w:type="pct"/>
            <w:vAlign w:val="center"/>
          </w:tcPr>
          <w:p w14:paraId="6E5EAC8E" w14:textId="77777777" w:rsidR="00C21983" w:rsidRPr="004B1D44" w:rsidRDefault="00C21983" w:rsidP="004B1D44">
            <w:pPr>
              <w:ind w:right="907"/>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8"/>
              </w:rPr>
            </w:pPr>
            <w:r>
              <w:rPr>
                <w:rFonts w:asciiTheme="minorHAnsi" w:hAnsiTheme="minorHAnsi"/>
                <w:sz w:val="28"/>
              </w:rPr>
              <w:t>Usted paga</w:t>
            </w:r>
          </w:p>
        </w:tc>
      </w:tr>
      <w:tr w:rsidR="00C21983" w:rsidRPr="00503E65" w14:paraId="58663BBE" w14:textId="77777777" w:rsidTr="000C7D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3" w:type="pct"/>
          </w:tcPr>
          <w:p w14:paraId="6F0F6767" w14:textId="6981BB70" w:rsidR="00C21983" w:rsidRPr="0051538C" w:rsidRDefault="00C21983" w:rsidP="00B14B06">
            <w:pPr>
              <w:rPr>
                <w:rFonts w:asciiTheme="minorHAnsi" w:eastAsia="Times New Roman" w:hAnsiTheme="minorHAnsi" w:cstheme="minorHAnsi"/>
                <w:sz w:val="23"/>
                <w:szCs w:val="23"/>
              </w:rPr>
            </w:pPr>
            <w:r w:rsidRPr="0051538C">
              <w:rPr>
                <w:rFonts w:asciiTheme="minorHAnsi" w:hAnsiTheme="minorHAnsi"/>
                <w:sz w:val="23"/>
                <w:szCs w:val="23"/>
              </w:rPr>
              <w:t xml:space="preserve">Deducible de la </w:t>
            </w:r>
            <w:r w:rsidR="002E7694">
              <w:rPr>
                <w:rFonts w:asciiTheme="minorHAnsi" w:hAnsiTheme="minorHAnsi"/>
                <w:sz w:val="23"/>
                <w:szCs w:val="23"/>
              </w:rPr>
              <w:br/>
            </w:r>
            <w:r w:rsidRPr="0051538C">
              <w:rPr>
                <w:rFonts w:asciiTheme="minorHAnsi" w:hAnsiTheme="minorHAnsi"/>
                <w:sz w:val="23"/>
                <w:szCs w:val="23"/>
              </w:rPr>
              <w:t>Parte A</w:t>
            </w:r>
          </w:p>
        </w:tc>
        <w:tc>
          <w:tcPr>
            <w:tcW w:w="4157" w:type="pct"/>
          </w:tcPr>
          <w:p w14:paraId="15B19322" w14:textId="6B423862" w:rsidR="00C21983" w:rsidRPr="0051538C" w:rsidRDefault="00C21983" w:rsidP="000C7DC0">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b/>
                <w:sz w:val="23"/>
                <w:szCs w:val="23"/>
              </w:rPr>
              <w:t>$1,676</w:t>
            </w:r>
            <w:r w:rsidRPr="0051538C">
              <w:rPr>
                <w:rFonts w:asciiTheme="minorHAnsi" w:hAnsiTheme="minorHAnsi"/>
                <w:sz w:val="23"/>
                <w:szCs w:val="23"/>
              </w:rPr>
              <w:t xml:space="preserve"> para cada período de beneficio de paciente hospitalizado, antes de que Medicare Original empiece a pagar. No hay límite para la cantidad de períodos de beneficios que puede tener al año. Esto significa que puede pagar el deducible más de una vez en un año.</w:t>
            </w:r>
          </w:p>
        </w:tc>
      </w:tr>
      <w:tr w:rsidR="00C21983" w:rsidRPr="00503E65" w14:paraId="664B26A5" w14:textId="77777777" w:rsidTr="000C7DC0">
        <w:tc>
          <w:tcPr>
            <w:cnfStyle w:val="001000000000" w:firstRow="0" w:lastRow="0" w:firstColumn="1" w:lastColumn="0" w:oddVBand="0" w:evenVBand="0" w:oddHBand="0" w:evenHBand="0" w:firstRowFirstColumn="0" w:firstRowLastColumn="0" w:lastRowFirstColumn="0" w:lastRowLastColumn="0"/>
            <w:tcW w:w="843" w:type="pct"/>
          </w:tcPr>
          <w:p w14:paraId="650ED14C" w14:textId="689D0121" w:rsidR="00C21983" w:rsidRPr="0051538C" w:rsidRDefault="002E7694" w:rsidP="00B14B06">
            <w:pPr>
              <w:rPr>
                <w:rFonts w:asciiTheme="minorHAnsi" w:eastAsia="Times New Roman" w:hAnsiTheme="minorHAnsi" w:cstheme="minorHAnsi"/>
                <w:sz w:val="23"/>
                <w:szCs w:val="23"/>
              </w:rPr>
            </w:pPr>
            <w:r w:rsidRPr="002E7694">
              <w:rPr>
                <w:rFonts w:asciiTheme="minorHAnsi" w:hAnsiTheme="minorHAnsi"/>
                <w:sz w:val="23"/>
                <w:szCs w:val="23"/>
              </w:rPr>
              <w:t>Estadías en el hospital</w:t>
            </w:r>
          </w:p>
        </w:tc>
        <w:tc>
          <w:tcPr>
            <w:tcW w:w="4157" w:type="pct"/>
          </w:tcPr>
          <w:p w14:paraId="04803252" w14:textId="20827F34" w:rsidR="00C21983" w:rsidRPr="0051538C" w:rsidRDefault="00C21983" w:rsidP="00C21983">
            <w:pPr>
              <w:numPr>
                <w:ilvl w:val="0"/>
                <w:numId w:val="29"/>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Días 1-60: $0 después de pagar su deducible de la Parte A.</w:t>
            </w:r>
          </w:p>
          <w:p w14:paraId="451721DF" w14:textId="1438AC80" w:rsidR="00C21983" w:rsidRPr="0051538C" w:rsidRDefault="00C21983" w:rsidP="00C21983">
            <w:pPr>
              <w:numPr>
                <w:ilvl w:val="0"/>
                <w:numId w:val="29"/>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Días 61-90: $419 cada día.</w:t>
            </w:r>
          </w:p>
          <w:p w14:paraId="237B36B0" w14:textId="0E85A6AD" w:rsidR="00C21983" w:rsidRPr="0051538C" w:rsidRDefault="00C21983" w:rsidP="00C21983">
            <w:pPr>
              <w:numPr>
                <w:ilvl w:val="0"/>
                <w:numId w:val="29"/>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Después del día 90: $838 por día mientras usa sus 60 días de reserva de por vida.</w:t>
            </w:r>
          </w:p>
          <w:p w14:paraId="7C19E60E" w14:textId="60125A27" w:rsidR="00D532C6" w:rsidRPr="0051538C" w:rsidRDefault="00D532C6" w:rsidP="00BA06C8">
            <w:pPr>
              <w:pStyle w:val="ListParagraph"/>
              <w:numPr>
                <w:ilvl w:val="0"/>
                <w:numId w:val="29"/>
              </w:numPr>
              <w:ind w:left="351" w:hanging="18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Después del día 150: Usted paga todos costos.</w:t>
            </w:r>
          </w:p>
          <w:p w14:paraId="65E39154" w14:textId="77777777" w:rsidR="00C21983" w:rsidRPr="0051538C" w:rsidRDefault="00C21983" w:rsidP="00B14B06">
            <w:pPr>
              <w:spacing w:before="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pacing w:val="-4"/>
                <w:sz w:val="23"/>
                <w:szCs w:val="23"/>
              </w:rPr>
            </w:pPr>
            <w:r w:rsidRPr="0051538C">
              <w:rPr>
                <w:rFonts w:asciiTheme="minorHAnsi" w:hAnsiTheme="minorHAnsi"/>
                <w:b/>
                <w:spacing w:val="-4"/>
                <w:sz w:val="23"/>
                <w:szCs w:val="23"/>
              </w:rPr>
              <w:lastRenderedPageBreak/>
              <w:t>NOTA</w:t>
            </w:r>
            <w:r w:rsidRPr="0051538C">
              <w:rPr>
                <w:rFonts w:asciiTheme="minorHAnsi" w:hAnsiTheme="minorHAnsi"/>
                <w:b/>
                <w:bCs/>
                <w:spacing w:val="-4"/>
                <w:sz w:val="23"/>
                <w:szCs w:val="23"/>
              </w:rPr>
              <w:t>:</w:t>
            </w:r>
            <w:r w:rsidRPr="0051538C">
              <w:rPr>
                <w:rFonts w:asciiTheme="minorHAnsi" w:hAnsiTheme="minorHAnsi"/>
                <w:spacing w:val="-4"/>
                <w:sz w:val="23"/>
                <w:szCs w:val="23"/>
              </w:rPr>
              <w:t xml:space="preserve"> Usted paga por servicios de enfermería privados, televisión o teléfono en su habitación (si estos servicios se cobran aparte), artículos de aseo personal (afeitadoras o medias antideslizantes) o una habitación privada, a menos que sea médicamente necesario.</w:t>
            </w:r>
          </w:p>
        </w:tc>
      </w:tr>
      <w:tr w:rsidR="00C21983" w:rsidRPr="00503E65" w14:paraId="7342149D" w14:textId="77777777" w:rsidTr="0051538C">
        <w:trPr>
          <w:cnfStyle w:val="000000100000" w:firstRow="0" w:lastRow="0" w:firstColumn="0" w:lastColumn="0" w:oddVBand="0" w:evenVBand="0" w:oddHBand="1" w:evenHBand="0" w:firstRowFirstColumn="0" w:firstRowLastColumn="0" w:lastRowFirstColumn="0" w:lastRowLastColumn="0"/>
          <w:trHeight w:val="1349"/>
        </w:trPr>
        <w:tc>
          <w:tcPr>
            <w:cnfStyle w:val="001000000000" w:firstRow="0" w:lastRow="0" w:firstColumn="1" w:lastColumn="0" w:oddVBand="0" w:evenVBand="0" w:oddHBand="0" w:evenHBand="0" w:firstRowFirstColumn="0" w:firstRowLastColumn="0" w:lastRowFirstColumn="0" w:lastRowLastColumn="0"/>
            <w:tcW w:w="843" w:type="pct"/>
          </w:tcPr>
          <w:p w14:paraId="6C166DB1" w14:textId="77777777" w:rsidR="00C21983" w:rsidRPr="0051538C" w:rsidRDefault="00C21983" w:rsidP="00B14B06">
            <w:pPr>
              <w:rPr>
                <w:rFonts w:asciiTheme="minorHAnsi" w:eastAsia="Times New Roman" w:hAnsiTheme="minorHAnsi" w:cstheme="minorHAnsi"/>
                <w:sz w:val="23"/>
                <w:szCs w:val="23"/>
              </w:rPr>
            </w:pPr>
            <w:r w:rsidRPr="0051538C">
              <w:rPr>
                <w:rFonts w:asciiTheme="minorHAnsi" w:hAnsiTheme="minorHAnsi"/>
                <w:sz w:val="23"/>
                <w:szCs w:val="23"/>
              </w:rPr>
              <w:lastRenderedPageBreak/>
              <w:t>Hospitalización por salud mental</w:t>
            </w:r>
          </w:p>
        </w:tc>
        <w:tc>
          <w:tcPr>
            <w:tcW w:w="4157" w:type="pct"/>
          </w:tcPr>
          <w:p w14:paraId="337B12C4" w14:textId="44976C42" w:rsidR="00C21983" w:rsidRPr="0051538C" w:rsidRDefault="00C21983" w:rsidP="00B14B06">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Si usted es paciente internado en un hospital general o psiquiátrico, también paga el 20% de la cantidad aprobada de Medicare por los servicios de salud mental que recibe de proveedores durante su hospitalización.</w:t>
            </w:r>
          </w:p>
          <w:p w14:paraId="138BBF99" w14:textId="501C3C5D" w:rsidR="00C21983" w:rsidRPr="0051538C" w:rsidRDefault="00C21983" w:rsidP="00B14B06">
            <w:pPr>
              <w:spacing w:before="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b/>
                <w:sz w:val="23"/>
                <w:szCs w:val="23"/>
              </w:rPr>
              <w:t>NOTA:</w:t>
            </w:r>
            <w:r w:rsidRPr="0051538C">
              <w:rPr>
                <w:rFonts w:asciiTheme="minorHAnsi" w:hAnsiTheme="minorHAnsi"/>
                <w:sz w:val="23"/>
                <w:szCs w:val="23"/>
              </w:rPr>
              <w:t xml:space="preserve"> Si recibe servicios en un hospital psiquiátrico, no se olvide que la Parte A solamente paga por hasta 190 días de servicios de hospital psiquiátrico como paciente internado durante su vida.</w:t>
            </w:r>
          </w:p>
        </w:tc>
      </w:tr>
      <w:tr w:rsidR="00C21983" w:rsidRPr="00503E65" w14:paraId="213ACD6B" w14:textId="77777777" w:rsidTr="0051538C">
        <w:trPr>
          <w:trHeight w:val="890"/>
        </w:trPr>
        <w:tc>
          <w:tcPr>
            <w:cnfStyle w:val="001000000000" w:firstRow="0" w:lastRow="0" w:firstColumn="1" w:lastColumn="0" w:oddVBand="0" w:evenVBand="0" w:oddHBand="0" w:evenHBand="0" w:firstRowFirstColumn="0" w:firstRowLastColumn="0" w:lastRowFirstColumn="0" w:lastRowLastColumn="0"/>
            <w:tcW w:w="843" w:type="pct"/>
          </w:tcPr>
          <w:p w14:paraId="491DC88A" w14:textId="038D502B" w:rsidR="00C21983" w:rsidRPr="0051538C" w:rsidRDefault="00C21983" w:rsidP="00B14B06">
            <w:pPr>
              <w:rPr>
                <w:rFonts w:asciiTheme="minorHAnsi" w:eastAsia="Times New Roman" w:hAnsiTheme="minorHAnsi" w:cstheme="minorHAnsi"/>
                <w:sz w:val="23"/>
                <w:szCs w:val="23"/>
              </w:rPr>
            </w:pPr>
            <w:r w:rsidRPr="0051538C">
              <w:rPr>
                <w:rFonts w:asciiTheme="minorHAnsi" w:hAnsiTheme="minorHAnsi"/>
                <w:sz w:val="23"/>
                <w:szCs w:val="23"/>
              </w:rPr>
              <w:t xml:space="preserve">Estadía en un Centro </w:t>
            </w:r>
            <w:r w:rsidR="00B14B06" w:rsidRPr="0051538C">
              <w:rPr>
                <w:rFonts w:asciiTheme="minorHAnsi" w:hAnsiTheme="minorHAnsi"/>
                <w:sz w:val="23"/>
                <w:szCs w:val="23"/>
              </w:rPr>
              <w:br/>
            </w:r>
            <w:r w:rsidRPr="0051538C">
              <w:rPr>
                <w:rFonts w:asciiTheme="minorHAnsi" w:hAnsiTheme="minorHAnsi"/>
                <w:sz w:val="23"/>
                <w:szCs w:val="23"/>
              </w:rPr>
              <w:t>de Enfermería Especializada</w:t>
            </w:r>
          </w:p>
        </w:tc>
        <w:tc>
          <w:tcPr>
            <w:tcW w:w="4157" w:type="pct"/>
          </w:tcPr>
          <w:p w14:paraId="16A33991" w14:textId="1B998337" w:rsidR="00C21983" w:rsidRPr="0051538C" w:rsidRDefault="00C21983" w:rsidP="00C21983">
            <w:pPr>
              <w:numPr>
                <w:ilvl w:val="0"/>
                <w:numId w:val="30"/>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Días 1-20: $0.</w:t>
            </w:r>
          </w:p>
          <w:p w14:paraId="0EE42494" w14:textId="3A8D2D3E" w:rsidR="00C21983" w:rsidRPr="0051538C" w:rsidRDefault="00C21983" w:rsidP="00C21983">
            <w:pPr>
              <w:numPr>
                <w:ilvl w:val="0"/>
                <w:numId w:val="30"/>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Días 21-100: $209.50 cada día.</w:t>
            </w:r>
          </w:p>
          <w:p w14:paraId="615BFE62" w14:textId="3280B199" w:rsidR="00C21983" w:rsidRPr="0051538C" w:rsidRDefault="00C21983" w:rsidP="00B14B06">
            <w:pPr>
              <w:numPr>
                <w:ilvl w:val="0"/>
                <w:numId w:val="30"/>
              </w:numPr>
              <w:spacing w:before="120"/>
              <w:ind w:left="360" w:hanging="187"/>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Día 101 y posteriores: Usted paga todos costos.</w:t>
            </w:r>
          </w:p>
        </w:tc>
      </w:tr>
      <w:tr w:rsidR="00C21983" w:rsidRPr="00503E65" w14:paraId="767769FC" w14:textId="77777777" w:rsidTr="0051538C">
        <w:trPr>
          <w:cnfStyle w:val="000000100000" w:firstRow="0" w:lastRow="0" w:firstColumn="0" w:lastColumn="0" w:oddVBand="0" w:evenVBand="0" w:oddHBand="1" w:evenHBand="0" w:firstRowFirstColumn="0" w:firstRowLastColumn="0" w:lastRowFirstColumn="0" w:lastRowLastColumn="0"/>
          <w:trHeight w:val="890"/>
        </w:trPr>
        <w:tc>
          <w:tcPr>
            <w:cnfStyle w:val="001000000000" w:firstRow="0" w:lastRow="0" w:firstColumn="1" w:lastColumn="0" w:oddVBand="0" w:evenVBand="0" w:oddHBand="0" w:evenHBand="0" w:firstRowFirstColumn="0" w:firstRowLastColumn="0" w:lastRowFirstColumn="0" w:lastRowLastColumn="0"/>
            <w:tcW w:w="843" w:type="pct"/>
          </w:tcPr>
          <w:p w14:paraId="67E75736" w14:textId="07EC856C" w:rsidR="00C21983" w:rsidRPr="0051538C" w:rsidRDefault="00C21983" w:rsidP="00B14B06">
            <w:pPr>
              <w:rPr>
                <w:rFonts w:asciiTheme="minorHAnsi" w:eastAsia="Times New Roman" w:hAnsiTheme="minorHAnsi" w:cstheme="minorHAnsi"/>
                <w:sz w:val="23"/>
                <w:szCs w:val="23"/>
              </w:rPr>
            </w:pPr>
            <w:r w:rsidRPr="0051538C">
              <w:rPr>
                <w:rFonts w:asciiTheme="minorHAnsi" w:hAnsiTheme="minorHAnsi"/>
                <w:sz w:val="23"/>
                <w:szCs w:val="23"/>
              </w:rPr>
              <w:t xml:space="preserve">Cuidado de la salud </w:t>
            </w:r>
            <w:r w:rsidR="00B14B06" w:rsidRPr="0051538C">
              <w:rPr>
                <w:rFonts w:asciiTheme="minorHAnsi" w:hAnsiTheme="minorHAnsi"/>
                <w:sz w:val="23"/>
                <w:szCs w:val="23"/>
              </w:rPr>
              <w:br/>
            </w:r>
            <w:r w:rsidRPr="0051538C">
              <w:rPr>
                <w:rFonts w:asciiTheme="minorHAnsi" w:hAnsiTheme="minorHAnsi"/>
                <w:sz w:val="23"/>
                <w:szCs w:val="23"/>
              </w:rPr>
              <w:t>en el hogar</w:t>
            </w:r>
          </w:p>
        </w:tc>
        <w:tc>
          <w:tcPr>
            <w:tcW w:w="4157" w:type="pct"/>
          </w:tcPr>
          <w:p w14:paraId="3109AE8D" w14:textId="3FF0B54A" w:rsidR="00C21983" w:rsidRPr="0051538C" w:rsidRDefault="00C21983" w:rsidP="00C21983">
            <w:pPr>
              <w:numPr>
                <w:ilvl w:val="0"/>
                <w:numId w:val="31"/>
              </w:numPr>
              <w:spacing w:before="120"/>
              <w:ind w:left="346"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$0 por servicios cubiertos de cuidado de la salud en el hogar.</w:t>
            </w:r>
          </w:p>
          <w:p w14:paraId="5B7A1B55" w14:textId="1AA5D353" w:rsidR="00C21983" w:rsidRPr="0051538C" w:rsidRDefault="00C21983" w:rsidP="00B14B06">
            <w:pPr>
              <w:numPr>
                <w:ilvl w:val="0"/>
                <w:numId w:val="31"/>
              </w:numPr>
              <w:spacing w:before="120"/>
              <w:ind w:left="360" w:hanging="187"/>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20 % del importe aprobado por Medicare para equipos médicos duraderos (DME, por sus siglas en inglés), como sillas de ruedas, andadores, camas de hospital y otros equipos.</w:t>
            </w:r>
          </w:p>
        </w:tc>
      </w:tr>
      <w:tr w:rsidR="00C21983" w:rsidRPr="00503E65" w14:paraId="26F91764" w14:textId="77777777" w:rsidTr="00B14B06">
        <w:trPr>
          <w:trHeight w:val="1088"/>
        </w:trPr>
        <w:tc>
          <w:tcPr>
            <w:cnfStyle w:val="001000000000" w:firstRow="0" w:lastRow="0" w:firstColumn="1" w:lastColumn="0" w:oddVBand="0" w:evenVBand="0" w:oddHBand="0" w:evenHBand="0" w:firstRowFirstColumn="0" w:firstRowLastColumn="0" w:lastRowFirstColumn="0" w:lastRowLastColumn="0"/>
            <w:tcW w:w="843" w:type="pct"/>
          </w:tcPr>
          <w:p w14:paraId="5E29EE24" w14:textId="6434C2FB" w:rsidR="00C21983" w:rsidRPr="002E7694" w:rsidRDefault="002E7694" w:rsidP="00B14B06">
            <w:pPr>
              <w:rPr>
                <w:rFonts w:asciiTheme="minorHAnsi" w:eastAsia="Times New Roman" w:hAnsiTheme="minorHAnsi" w:cstheme="minorHAnsi"/>
                <w:sz w:val="23"/>
                <w:szCs w:val="23"/>
              </w:rPr>
            </w:pPr>
            <w:r w:rsidRPr="002E7694">
              <w:rPr>
                <w:rFonts w:asciiTheme="minorHAnsi" w:eastAsia="Times New Roman" w:hAnsiTheme="minorHAnsi" w:cstheme="minorHAnsi"/>
                <w:sz w:val="23"/>
                <w:szCs w:val="23"/>
                <w:lang w:bidi="ar-SA"/>
              </w:rPr>
              <w:t>Cuidados paliativos</w:t>
            </w:r>
          </w:p>
        </w:tc>
        <w:tc>
          <w:tcPr>
            <w:tcW w:w="4157" w:type="pct"/>
          </w:tcPr>
          <w:p w14:paraId="09A1D630" w14:textId="77777777" w:rsidR="00C21983" w:rsidRPr="0051538C" w:rsidRDefault="00C21983" w:rsidP="00C21983">
            <w:pPr>
              <w:numPr>
                <w:ilvl w:val="0"/>
                <w:numId w:val="32"/>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$0 por servicios de cuidados de hospicio cubiertos.</w:t>
            </w:r>
          </w:p>
          <w:p w14:paraId="20A2B3A0" w14:textId="57DBAC8B" w:rsidR="00C21983" w:rsidRPr="0051538C" w:rsidRDefault="00C21983" w:rsidP="00C21983">
            <w:pPr>
              <w:numPr>
                <w:ilvl w:val="0"/>
                <w:numId w:val="32"/>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Un copago de hasta $5 por cada medicamento recetado y otros productos similares para alivio del dolor y control de síntomas mientras esté en su hogar.</w:t>
            </w:r>
          </w:p>
          <w:p w14:paraId="1CD1BFD8" w14:textId="77777777" w:rsidR="00C21983" w:rsidRPr="0051538C" w:rsidRDefault="00C21983" w:rsidP="00C21983">
            <w:pPr>
              <w:numPr>
                <w:ilvl w:val="0"/>
                <w:numId w:val="32"/>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 xml:space="preserve">5% de la cantidad aprobada de Medicare para cuidados paliativos de paciente internado. </w:t>
            </w:r>
          </w:p>
          <w:p w14:paraId="35B97638" w14:textId="50DCD707" w:rsidR="00C21983" w:rsidRPr="0051538C" w:rsidRDefault="00AF1912" w:rsidP="00C21983">
            <w:pPr>
              <w:numPr>
                <w:ilvl w:val="0"/>
                <w:numId w:val="32"/>
              </w:numPr>
              <w:spacing w:before="120"/>
              <w:ind w:left="346" w:right="632"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Medicare no cubre los gastos de alojamiento y alimentos cuando recibe cuidados paliativos en casa o en otro centro en el que resida (como un asilo de ancianos).</w:t>
            </w:r>
          </w:p>
        </w:tc>
      </w:tr>
    </w:tbl>
    <w:bookmarkEnd w:id="3"/>
    <w:p w14:paraId="3D031106" w14:textId="77777777" w:rsidR="00C21983" w:rsidRPr="0051538C" w:rsidRDefault="00C21983" w:rsidP="004B1D44">
      <w:pPr>
        <w:tabs>
          <w:tab w:val="left" w:pos="100"/>
        </w:tabs>
        <w:spacing w:before="120" w:after="120"/>
        <w:rPr>
          <w:rFonts w:asciiTheme="minorHAnsi" w:hAnsiTheme="minorHAnsi" w:cstheme="minorHAnsi"/>
          <w:sz w:val="23"/>
          <w:szCs w:val="23"/>
        </w:rPr>
      </w:pPr>
      <w:r w:rsidRPr="0051538C">
        <w:rPr>
          <w:rFonts w:asciiTheme="minorHAnsi" w:hAnsiTheme="minorHAnsi"/>
          <w:b/>
          <w:sz w:val="23"/>
          <w:szCs w:val="23"/>
        </w:rPr>
        <w:t>NOTA:</w:t>
      </w:r>
      <w:r w:rsidRPr="0051538C">
        <w:rPr>
          <w:rFonts w:asciiTheme="minorHAnsi" w:hAnsiTheme="minorHAnsi"/>
          <w:sz w:val="23"/>
          <w:szCs w:val="23"/>
        </w:rPr>
        <w:t xml:space="preserve"> </w:t>
      </w:r>
      <w:r w:rsidRPr="0051538C">
        <w:rPr>
          <w:sz w:val="23"/>
          <w:szCs w:val="23"/>
        </w:rPr>
        <w:t xml:space="preserve">Se facturará a Medicare Original por sus cuidados de hospicio, incluso si usted tiene un plan de Medicare </w:t>
      </w:r>
      <w:proofErr w:type="spellStart"/>
      <w:r w:rsidRPr="0051538C">
        <w:rPr>
          <w:sz w:val="23"/>
          <w:szCs w:val="23"/>
        </w:rPr>
        <w:t>Advantage</w:t>
      </w:r>
      <w:proofErr w:type="spellEnd"/>
      <w:r w:rsidRPr="0051538C">
        <w:rPr>
          <w:sz w:val="23"/>
          <w:szCs w:val="23"/>
        </w:rPr>
        <w:t xml:space="preserve">. Cuando recibe cuidados de hospicio, su plan de Medicare </w:t>
      </w:r>
      <w:proofErr w:type="spellStart"/>
      <w:r w:rsidRPr="0051538C">
        <w:rPr>
          <w:sz w:val="23"/>
          <w:szCs w:val="23"/>
        </w:rPr>
        <w:t>Advantage</w:t>
      </w:r>
      <w:proofErr w:type="spellEnd"/>
      <w:r w:rsidRPr="0051538C">
        <w:rPr>
          <w:sz w:val="23"/>
          <w:szCs w:val="23"/>
        </w:rPr>
        <w:t xml:space="preserve"> aún puede cubrir los servicios que no sean parte de su enfermedad terminal o las afecciones relacionadas con su enfermedad terminal. Para más información sobre cuidados de hospicio y para encontrar proveedores aprobados por Medicare, comuníquese con su plan o visite </w:t>
      </w:r>
      <w:hyperlink r:id="rId11" w:history="1">
        <w:r w:rsidRPr="0051538C">
          <w:rPr>
            <w:color w:val="0000FF" w:themeColor="hyperlink"/>
            <w:sz w:val="23"/>
            <w:szCs w:val="23"/>
            <w:u w:val="single"/>
          </w:rPr>
          <w:t>es.Medicare.gov/care-compare</w:t>
        </w:r>
      </w:hyperlink>
      <w:r w:rsidRPr="0051538C">
        <w:rPr>
          <w:sz w:val="23"/>
          <w:szCs w:val="23"/>
        </w:rPr>
        <w:t xml:space="preserve">. </w:t>
      </w:r>
    </w:p>
    <w:p w14:paraId="52B8738A" w14:textId="647C064B" w:rsidR="00C21983" w:rsidRPr="002E7694" w:rsidRDefault="00C21983" w:rsidP="004B1D44">
      <w:pPr>
        <w:pStyle w:val="Heading1NTP"/>
        <w:spacing w:before="0"/>
        <w:rPr>
          <w:lang w:val="pt-BR"/>
        </w:rPr>
      </w:pPr>
      <w:proofErr w:type="spellStart"/>
      <w:r w:rsidRPr="002E7694">
        <w:rPr>
          <w:lang w:val="pt-BR"/>
        </w:rPr>
        <w:t>Costos</w:t>
      </w:r>
      <w:proofErr w:type="spellEnd"/>
      <w:r w:rsidRPr="002E7694">
        <w:rPr>
          <w:lang w:val="pt-BR"/>
        </w:rPr>
        <w:t xml:space="preserve"> de </w:t>
      </w:r>
      <w:proofErr w:type="spellStart"/>
      <w:r w:rsidRPr="002E7694">
        <w:rPr>
          <w:lang w:val="pt-BR"/>
        </w:rPr>
        <w:t>Medicare</w:t>
      </w:r>
      <w:proofErr w:type="spellEnd"/>
      <w:r w:rsidRPr="002E7694">
        <w:rPr>
          <w:lang w:val="pt-BR"/>
        </w:rPr>
        <w:t xml:space="preserve"> Parte B (Seguro Médico)</w:t>
      </w:r>
    </w:p>
    <w:p w14:paraId="09356275" w14:textId="38FD7144" w:rsidR="00C21983" w:rsidRPr="0051538C" w:rsidRDefault="00C21983" w:rsidP="00C21983">
      <w:pPr>
        <w:spacing w:before="120"/>
        <w:ind w:right="715"/>
        <w:rPr>
          <w:rFonts w:asciiTheme="minorHAnsi" w:hAnsiTheme="minorHAnsi" w:cstheme="minorHAnsi"/>
          <w:sz w:val="23"/>
          <w:szCs w:val="23"/>
        </w:rPr>
      </w:pPr>
      <w:r w:rsidRPr="0051538C">
        <w:rPr>
          <w:rFonts w:asciiTheme="minorHAnsi" w:hAnsiTheme="minorHAnsi"/>
          <w:b/>
          <w:sz w:val="23"/>
          <w:szCs w:val="23"/>
        </w:rPr>
        <w:t xml:space="preserve">Prima mensual: </w:t>
      </w:r>
      <w:r w:rsidRPr="0051538C">
        <w:rPr>
          <w:rFonts w:asciiTheme="minorHAnsi" w:hAnsiTheme="minorHAnsi"/>
          <w:sz w:val="23"/>
          <w:szCs w:val="23"/>
        </w:rPr>
        <w:t xml:space="preserve">En 2025, la cantidad estándar de la prima de la Parte B es de </w:t>
      </w:r>
      <w:r w:rsidRPr="0051538C">
        <w:rPr>
          <w:rFonts w:asciiTheme="minorHAnsi" w:hAnsiTheme="minorHAnsi"/>
          <w:b/>
          <w:sz w:val="23"/>
          <w:szCs w:val="23"/>
        </w:rPr>
        <w:t>$185</w:t>
      </w:r>
      <w:r w:rsidRPr="0051538C">
        <w:rPr>
          <w:rFonts w:asciiTheme="minorHAnsi" w:hAnsiTheme="minorHAnsi"/>
          <w:sz w:val="23"/>
          <w:szCs w:val="23"/>
        </w:rPr>
        <w:t xml:space="preserve"> (o más, según sus ingresos). Usted pagará la prima cada mes, incluso si no recibe ningún servicio cubierto por la Parte B. La mayoría de las personas paga la cantidad de prima estándar de la Parte B. Si los ingresos brutos ajustados modificados que usted indicó en su declaración de impuestos con el Servicio de Impuestos Internos (IRS) de hace 2 años son mayores de una cantidad determinada, usted podría pagar una Cantidad de Ajuste Mensual Acorde a sus Ingresos (IRMAA), tal como se muestra en la página 4. </w:t>
      </w:r>
    </w:p>
    <w:p w14:paraId="7C6E90E8" w14:textId="0DFA22F8" w:rsidR="000C7DC0" w:rsidRPr="00503E65" w:rsidRDefault="00C21983" w:rsidP="0051538C">
      <w:pPr>
        <w:tabs>
          <w:tab w:val="left" w:pos="299"/>
        </w:tabs>
        <w:spacing w:before="120" w:after="120"/>
        <w:rPr>
          <w:rFonts w:asciiTheme="minorHAnsi" w:hAnsiTheme="minorHAnsi" w:cstheme="minorHAnsi"/>
          <w:b/>
          <w:color w:val="548DD4" w:themeColor="text2" w:themeTint="99"/>
          <w:sz w:val="24"/>
          <w:szCs w:val="24"/>
        </w:rPr>
      </w:pPr>
      <w:r w:rsidRPr="0051538C">
        <w:rPr>
          <w:rFonts w:asciiTheme="minorHAnsi" w:hAnsiTheme="minorHAnsi"/>
          <w:b/>
          <w:sz w:val="23"/>
          <w:szCs w:val="23"/>
        </w:rPr>
        <w:t>Multa por inscripción tardía</w:t>
      </w:r>
      <w:r w:rsidRPr="0051538C">
        <w:rPr>
          <w:rFonts w:asciiTheme="minorHAnsi" w:hAnsiTheme="minorHAnsi"/>
          <w:b/>
          <w:bCs/>
          <w:sz w:val="23"/>
          <w:szCs w:val="23"/>
        </w:rPr>
        <w:t>:</w:t>
      </w:r>
      <w:r w:rsidRPr="0051538C">
        <w:rPr>
          <w:rFonts w:asciiTheme="minorHAnsi" w:hAnsiTheme="minorHAnsi"/>
          <w:sz w:val="23"/>
          <w:szCs w:val="23"/>
        </w:rPr>
        <w:t xml:space="preserve"> En la mayoría de los casos, si usted no se inscribe en la Parte B al ser elegible por primera vez, tendrá que pagar una multa por inscripción tardía durante todo el tiempo en que tenga la Parte B.</w:t>
      </w:r>
      <w:r w:rsidR="00B14B06" w:rsidRPr="0051538C">
        <w:rPr>
          <w:rFonts w:asciiTheme="minorHAnsi" w:hAnsiTheme="minorHAnsi"/>
          <w:sz w:val="23"/>
          <w:szCs w:val="23"/>
        </w:rPr>
        <w:t xml:space="preserve"> </w:t>
      </w:r>
      <w:r w:rsidRPr="0051538C">
        <w:rPr>
          <w:rFonts w:asciiTheme="minorHAnsi" w:hAnsiTheme="minorHAnsi"/>
          <w:sz w:val="23"/>
          <w:szCs w:val="23"/>
        </w:rPr>
        <w:t>Pagará un 10% adicional por cada año que pudiera haberse inscrito en la Parte B, pero no se inscribió.</w:t>
      </w:r>
      <w:r w:rsidR="00B14B06" w:rsidRPr="0051538C">
        <w:rPr>
          <w:rFonts w:asciiTheme="minorHAnsi" w:hAnsiTheme="minorHAnsi"/>
          <w:sz w:val="23"/>
          <w:szCs w:val="23"/>
        </w:rPr>
        <w:t xml:space="preserve"> </w:t>
      </w:r>
      <w:r w:rsidRPr="0051538C">
        <w:rPr>
          <w:rFonts w:asciiTheme="minorHAnsi" w:hAnsiTheme="minorHAnsi"/>
          <w:sz w:val="23"/>
          <w:szCs w:val="23"/>
        </w:rPr>
        <w:t>También podría pagar una prima mayor, según sus ingresos. Usted podría tener que esperar hasta el Período de Inscripción General (del 1 de enero al 31 de marzo) para inscribirse en la Parte B.</w:t>
      </w:r>
      <w:r w:rsidR="00B14B06" w:rsidRPr="0051538C">
        <w:rPr>
          <w:rFonts w:asciiTheme="minorHAnsi" w:hAnsiTheme="minorHAnsi"/>
          <w:sz w:val="23"/>
          <w:szCs w:val="23"/>
        </w:rPr>
        <w:t xml:space="preserve"> </w:t>
      </w:r>
      <w:r w:rsidRPr="0051538C">
        <w:rPr>
          <w:rFonts w:asciiTheme="minorHAnsi" w:hAnsiTheme="minorHAnsi"/>
          <w:sz w:val="23"/>
          <w:szCs w:val="23"/>
        </w:rPr>
        <w:t>La cobertura empieza el mes después de que se inscriba.</w:t>
      </w:r>
      <w:r w:rsidRPr="0051538C">
        <w:rPr>
          <w:rFonts w:asciiTheme="minorHAnsi" w:hAnsiTheme="minorHAnsi"/>
          <w:color w:val="000000" w:themeColor="text1"/>
          <w:sz w:val="23"/>
          <w:szCs w:val="23"/>
        </w:rPr>
        <w:t> </w:t>
      </w:r>
      <w:r w:rsidR="000C7DC0" w:rsidRPr="00503E65">
        <w:rPr>
          <w:sz w:val="21"/>
          <w:szCs w:val="21"/>
        </w:rPr>
        <w:br w:type="page"/>
      </w:r>
    </w:p>
    <w:p w14:paraId="3447EEF4" w14:textId="6BE99E66" w:rsidR="00C21983" w:rsidRPr="00C21983" w:rsidRDefault="00C21983" w:rsidP="000C7DC0">
      <w:pPr>
        <w:pStyle w:val="Heading2NTP"/>
        <w:spacing w:before="480" w:after="120"/>
        <w:rPr>
          <w:color w:val="070707"/>
          <w:sz w:val="24"/>
          <w:szCs w:val="24"/>
        </w:rPr>
      </w:pPr>
      <w:r>
        <w:lastRenderedPageBreak/>
        <w:t>Costos de la Parte B si tiene Medicare Original</w:t>
      </w:r>
    </w:p>
    <w:tbl>
      <w:tblPr>
        <w:tblStyle w:val="GridTable4-Accent12"/>
        <w:tblW w:w="5000" w:type="pct"/>
        <w:tblLook w:val="04A0" w:firstRow="1" w:lastRow="0" w:firstColumn="1" w:lastColumn="0" w:noHBand="0" w:noVBand="1"/>
      </w:tblPr>
      <w:tblGrid>
        <w:gridCol w:w="2786"/>
        <w:gridCol w:w="11604"/>
      </w:tblGrid>
      <w:tr w:rsidR="00C21983" w:rsidRPr="00C21983" w14:paraId="77CEE132" w14:textId="77777777" w:rsidTr="000C7DC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68" w:type="pct"/>
          </w:tcPr>
          <w:p w14:paraId="46A6C32F" w14:textId="77777777" w:rsidR="00C21983" w:rsidRPr="00C21983" w:rsidRDefault="00C21983" w:rsidP="004B1D44">
            <w:pPr>
              <w:jc w:val="center"/>
              <w:rPr>
                <w:rFonts w:asciiTheme="minorHAnsi" w:eastAsia="Times New Roman" w:hAnsiTheme="minorHAnsi" w:cstheme="minorHAnsi"/>
                <w:sz w:val="28"/>
                <w:szCs w:val="24"/>
              </w:rPr>
            </w:pPr>
            <w:r>
              <w:rPr>
                <w:rFonts w:asciiTheme="minorHAnsi" w:hAnsiTheme="minorHAnsi"/>
                <w:sz w:val="28"/>
              </w:rPr>
              <w:t>Costo</w:t>
            </w:r>
          </w:p>
        </w:tc>
        <w:tc>
          <w:tcPr>
            <w:tcW w:w="4032" w:type="pct"/>
          </w:tcPr>
          <w:p w14:paraId="069AB2ED" w14:textId="77777777" w:rsidR="00C21983" w:rsidRPr="00C21983" w:rsidRDefault="00C21983" w:rsidP="004B1D44">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Usted paga</w:t>
            </w:r>
          </w:p>
        </w:tc>
      </w:tr>
      <w:tr w:rsidR="00C21983" w:rsidRPr="00503E65" w14:paraId="0D20CA55"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56A236B8" w14:textId="52C69FE1" w:rsidR="00C21983" w:rsidRPr="0051538C" w:rsidRDefault="00C21983" w:rsidP="00B14B06">
            <w:pPr>
              <w:rPr>
                <w:rFonts w:asciiTheme="minorHAnsi" w:eastAsia="Times New Roman" w:hAnsiTheme="minorHAnsi" w:cstheme="minorHAnsi"/>
                <w:sz w:val="23"/>
                <w:szCs w:val="23"/>
              </w:rPr>
            </w:pPr>
            <w:r w:rsidRPr="0051538C">
              <w:rPr>
                <w:rFonts w:asciiTheme="minorHAnsi" w:hAnsiTheme="minorHAnsi"/>
                <w:sz w:val="23"/>
                <w:szCs w:val="23"/>
              </w:rPr>
              <w:t xml:space="preserve">Deducible anual de la </w:t>
            </w:r>
            <w:r w:rsidR="00B14B06" w:rsidRPr="0051538C">
              <w:rPr>
                <w:rFonts w:asciiTheme="minorHAnsi" w:hAnsiTheme="minorHAnsi"/>
                <w:sz w:val="23"/>
                <w:szCs w:val="23"/>
              </w:rPr>
              <w:br/>
            </w:r>
            <w:r w:rsidRPr="0051538C">
              <w:rPr>
                <w:rFonts w:asciiTheme="minorHAnsi" w:hAnsiTheme="minorHAnsi"/>
                <w:sz w:val="23"/>
                <w:szCs w:val="23"/>
              </w:rPr>
              <w:t>Parte B</w:t>
            </w:r>
          </w:p>
        </w:tc>
        <w:tc>
          <w:tcPr>
            <w:tcW w:w="4032" w:type="pct"/>
          </w:tcPr>
          <w:p w14:paraId="281A1EEA" w14:textId="3AFE8A02" w:rsidR="00C21983" w:rsidRPr="0051538C" w:rsidRDefault="00C21983" w:rsidP="000071ED">
            <w:pPr>
              <w:spacing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b/>
                <w:sz w:val="23"/>
                <w:szCs w:val="23"/>
              </w:rPr>
              <w:t>$257 antes de que Medicare Original empiece a pagar.</w:t>
            </w:r>
            <w:r w:rsidRPr="0051538C">
              <w:rPr>
                <w:rFonts w:asciiTheme="minorHAnsi" w:hAnsiTheme="minorHAnsi"/>
                <w:sz w:val="23"/>
                <w:szCs w:val="23"/>
              </w:rPr>
              <w:t xml:space="preserve"> Usted paga este deducible una vez cada año. </w:t>
            </w:r>
          </w:p>
        </w:tc>
      </w:tr>
      <w:tr w:rsidR="00C21983" w:rsidRPr="00503E65" w14:paraId="24B0B9C3" w14:textId="77777777" w:rsidTr="00B14B06">
        <w:trPr>
          <w:cantSplit/>
          <w:trHeight w:val="1790"/>
        </w:trPr>
        <w:tc>
          <w:tcPr>
            <w:cnfStyle w:val="001000000000" w:firstRow="0" w:lastRow="0" w:firstColumn="1" w:lastColumn="0" w:oddVBand="0" w:evenVBand="0" w:oddHBand="0" w:evenHBand="0" w:firstRowFirstColumn="0" w:firstRowLastColumn="0" w:lastRowFirstColumn="0" w:lastRowLastColumn="0"/>
            <w:tcW w:w="968" w:type="pct"/>
          </w:tcPr>
          <w:p w14:paraId="3DFED1C1" w14:textId="77777777" w:rsidR="00C21983" w:rsidRPr="0051538C" w:rsidRDefault="00C21983" w:rsidP="00B14B06">
            <w:pPr>
              <w:spacing w:after="120"/>
              <w:rPr>
                <w:rFonts w:asciiTheme="minorHAnsi" w:eastAsia="Times New Roman" w:hAnsiTheme="minorHAnsi" w:cstheme="minorHAnsi"/>
                <w:sz w:val="23"/>
                <w:szCs w:val="23"/>
              </w:rPr>
            </w:pPr>
            <w:r w:rsidRPr="0051538C">
              <w:rPr>
                <w:rFonts w:asciiTheme="minorHAnsi" w:hAnsiTheme="minorHAnsi"/>
                <w:sz w:val="23"/>
                <w:szCs w:val="23"/>
              </w:rPr>
              <w:t>Costos Generales por Servicios (</w:t>
            </w:r>
            <w:proofErr w:type="spellStart"/>
            <w:r w:rsidRPr="0051538C">
              <w:rPr>
                <w:rFonts w:asciiTheme="minorHAnsi" w:hAnsiTheme="minorHAnsi"/>
                <w:sz w:val="23"/>
                <w:szCs w:val="23"/>
              </w:rPr>
              <w:t>coseguro</w:t>
            </w:r>
            <w:proofErr w:type="spellEnd"/>
            <w:r w:rsidRPr="0051538C">
              <w:rPr>
                <w:rFonts w:asciiTheme="minorHAnsi" w:hAnsiTheme="minorHAnsi"/>
                <w:sz w:val="23"/>
                <w:szCs w:val="23"/>
              </w:rPr>
              <w:t>)</w:t>
            </w:r>
          </w:p>
        </w:tc>
        <w:tc>
          <w:tcPr>
            <w:tcW w:w="4032" w:type="pct"/>
          </w:tcPr>
          <w:p w14:paraId="73C1BFC3" w14:textId="5F1FCC16" w:rsidR="00C21983" w:rsidRPr="0051538C" w:rsidRDefault="00C21983" w:rsidP="000071ED">
            <w:pPr>
              <w:spacing w:after="12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 xml:space="preserve">Por lo general, el 20% del costo de cada servicio o artículo cubierto por Medicare, luego de satisfacer su deducible (y siempre y cuando su médico o proveedor de cuidado de la salud acepte la cantidad aprobada de Medicare como pago completo—esto se llama </w:t>
            </w:r>
            <w:r w:rsidR="00B14B06" w:rsidRPr="0051538C">
              <w:rPr>
                <w:rFonts w:asciiTheme="minorHAnsi" w:hAnsiTheme="minorHAnsi"/>
                <w:sz w:val="23"/>
                <w:szCs w:val="23"/>
              </w:rPr>
              <w:t>“</w:t>
            </w:r>
            <w:r w:rsidRPr="0051538C">
              <w:rPr>
                <w:rFonts w:asciiTheme="minorHAnsi" w:hAnsiTheme="minorHAnsi"/>
                <w:sz w:val="23"/>
                <w:szCs w:val="23"/>
              </w:rPr>
              <w:t>aceptar la asignación</w:t>
            </w:r>
            <w:r w:rsidR="00B14B06" w:rsidRPr="0051538C">
              <w:rPr>
                <w:rFonts w:asciiTheme="minorHAnsi" w:hAnsiTheme="minorHAnsi"/>
                <w:sz w:val="23"/>
                <w:szCs w:val="23"/>
              </w:rPr>
              <w:t>”</w:t>
            </w:r>
            <w:r w:rsidRPr="0051538C">
              <w:rPr>
                <w:rFonts w:asciiTheme="minorHAnsi" w:hAnsiTheme="minorHAnsi"/>
                <w:sz w:val="23"/>
                <w:szCs w:val="23"/>
              </w:rPr>
              <w:t>).</w:t>
            </w:r>
          </w:p>
          <w:p w14:paraId="196EBE81" w14:textId="5DD061DE" w:rsidR="00C83AFA" w:rsidRPr="0051538C" w:rsidRDefault="00C83AFA" w:rsidP="000071ED">
            <w:pPr>
              <w:spacing w:after="12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Esto es lo que ocurrirá si su médico o proveedor acepta la asignación:</w:t>
            </w:r>
          </w:p>
          <w:p w14:paraId="6AE69632" w14:textId="69FBE8E4" w:rsidR="00C21983" w:rsidRPr="0051538C" w:rsidRDefault="00C83AFA" w:rsidP="000071ED">
            <w:pPr>
              <w:numPr>
                <w:ilvl w:val="0"/>
                <w:numId w:val="33"/>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Los gastos directos de su bolsillo podrían ser menores.</w:t>
            </w:r>
          </w:p>
          <w:p w14:paraId="2B1CEDD5" w14:textId="0B128F00" w:rsidR="00C21983" w:rsidRPr="0051538C" w:rsidRDefault="00C83AFA" w:rsidP="000071ED">
            <w:pPr>
              <w:numPr>
                <w:ilvl w:val="0"/>
                <w:numId w:val="33"/>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 xml:space="preserve">Ellos acuerdan cobrarle solo el deducible de Medicare y el monto del </w:t>
            </w:r>
            <w:proofErr w:type="spellStart"/>
            <w:r w:rsidRPr="0051538C">
              <w:rPr>
                <w:rFonts w:asciiTheme="minorHAnsi" w:hAnsiTheme="minorHAnsi"/>
                <w:sz w:val="23"/>
                <w:szCs w:val="23"/>
              </w:rPr>
              <w:t>coseguro</w:t>
            </w:r>
            <w:proofErr w:type="spellEnd"/>
            <w:r w:rsidRPr="0051538C">
              <w:rPr>
                <w:rFonts w:asciiTheme="minorHAnsi" w:hAnsiTheme="minorHAnsi"/>
                <w:sz w:val="23"/>
                <w:szCs w:val="23"/>
              </w:rPr>
              <w:t>, y en general esperan a que Medicare pague su parte antes de pedirle a usted que pague la suya.</w:t>
            </w:r>
          </w:p>
          <w:p w14:paraId="0FDCCCFD" w14:textId="434D078D" w:rsidR="00C21983" w:rsidRPr="0051538C" w:rsidRDefault="00C83AFA" w:rsidP="00B14B06">
            <w:pPr>
              <w:numPr>
                <w:ilvl w:val="0"/>
                <w:numId w:val="33"/>
              </w:numPr>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Tienen que presentar su reclamación directamente a Medicare y no pueden cobrarle a usted por presentar la reclamación.</w:t>
            </w:r>
          </w:p>
        </w:tc>
      </w:tr>
      <w:tr w:rsidR="00C21983" w:rsidRPr="00503E65" w14:paraId="1F8CC38D"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2AD33BFE" w14:textId="4F4B19B5" w:rsidR="00C21983" w:rsidRPr="0051538C" w:rsidRDefault="00C21983" w:rsidP="00B14B06">
            <w:pPr>
              <w:rPr>
                <w:rFonts w:asciiTheme="minorHAnsi" w:eastAsia="Times New Roman" w:hAnsiTheme="minorHAnsi" w:cstheme="minorHAnsi"/>
                <w:sz w:val="23"/>
                <w:szCs w:val="23"/>
              </w:rPr>
            </w:pPr>
            <w:r w:rsidRPr="0051538C">
              <w:rPr>
                <w:rFonts w:asciiTheme="minorHAnsi" w:hAnsiTheme="minorHAnsi"/>
                <w:sz w:val="23"/>
                <w:szCs w:val="23"/>
              </w:rPr>
              <w:t xml:space="preserve">Servicios clínicos </w:t>
            </w:r>
            <w:r w:rsidR="00B14B06" w:rsidRPr="0051538C">
              <w:rPr>
                <w:rFonts w:asciiTheme="minorHAnsi" w:hAnsiTheme="minorHAnsi"/>
                <w:sz w:val="23"/>
                <w:szCs w:val="23"/>
              </w:rPr>
              <w:br/>
            </w:r>
            <w:r w:rsidRPr="0051538C">
              <w:rPr>
                <w:rFonts w:asciiTheme="minorHAnsi" w:hAnsiTheme="minorHAnsi"/>
                <w:sz w:val="23"/>
                <w:szCs w:val="23"/>
              </w:rPr>
              <w:t>de laboratorio</w:t>
            </w:r>
          </w:p>
        </w:tc>
        <w:tc>
          <w:tcPr>
            <w:tcW w:w="4032" w:type="pct"/>
          </w:tcPr>
          <w:p w14:paraId="04B14410" w14:textId="552E98AA" w:rsidR="00C21983" w:rsidRPr="0051538C" w:rsidRDefault="00C21983" w:rsidP="000071ED">
            <w:pPr>
              <w:spacing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$0 por servicios de laboratorio clínico cubiertos.</w:t>
            </w:r>
          </w:p>
        </w:tc>
      </w:tr>
      <w:tr w:rsidR="00C21983" w:rsidRPr="00503E65" w14:paraId="69763003" w14:textId="77777777" w:rsidTr="00B14B06">
        <w:trPr>
          <w:cantSplit/>
          <w:trHeight w:val="77"/>
        </w:trPr>
        <w:tc>
          <w:tcPr>
            <w:cnfStyle w:val="001000000000" w:firstRow="0" w:lastRow="0" w:firstColumn="1" w:lastColumn="0" w:oddVBand="0" w:evenVBand="0" w:oddHBand="0" w:evenHBand="0" w:firstRowFirstColumn="0" w:firstRowLastColumn="0" w:lastRowFirstColumn="0" w:lastRowLastColumn="0"/>
            <w:tcW w:w="968" w:type="pct"/>
          </w:tcPr>
          <w:p w14:paraId="7636B25D" w14:textId="0F261903" w:rsidR="00C21983" w:rsidRPr="0051538C" w:rsidRDefault="00C21983" w:rsidP="00B14B06">
            <w:pPr>
              <w:rPr>
                <w:rFonts w:asciiTheme="minorHAnsi" w:eastAsia="Times New Roman" w:hAnsiTheme="minorHAnsi" w:cstheme="minorHAnsi"/>
                <w:sz w:val="23"/>
                <w:szCs w:val="23"/>
              </w:rPr>
            </w:pPr>
            <w:r w:rsidRPr="0051538C">
              <w:rPr>
                <w:rFonts w:asciiTheme="minorHAnsi" w:hAnsiTheme="minorHAnsi"/>
                <w:sz w:val="23"/>
                <w:szCs w:val="23"/>
              </w:rPr>
              <w:t xml:space="preserve">Cuidado de la salud </w:t>
            </w:r>
            <w:r w:rsidR="00B14B06" w:rsidRPr="0051538C">
              <w:rPr>
                <w:rFonts w:asciiTheme="minorHAnsi" w:hAnsiTheme="minorHAnsi"/>
                <w:sz w:val="23"/>
                <w:szCs w:val="23"/>
              </w:rPr>
              <w:br/>
            </w:r>
            <w:r w:rsidRPr="0051538C">
              <w:rPr>
                <w:rFonts w:asciiTheme="minorHAnsi" w:hAnsiTheme="minorHAnsi"/>
                <w:sz w:val="23"/>
                <w:szCs w:val="23"/>
              </w:rPr>
              <w:t>en el hogar</w:t>
            </w:r>
          </w:p>
        </w:tc>
        <w:tc>
          <w:tcPr>
            <w:tcW w:w="4032" w:type="pct"/>
          </w:tcPr>
          <w:p w14:paraId="2B659831" w14:textId="5CC5066D" w:rsidR="00C21983" w:rsidRPr="0051538C" w:rsidRDefault="00C21983" w:rsidP="000071ED">
            <w:pPr>
              <w:numPr>
                <w:ilvl w:val="0"/>
                <w:numId w:val="34"/>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$0 por servicios cubiertos de cuidado de la salud en el hogar.</w:t>
            </w:r>
          </w:p>
          <w:p w14:paraId="738C53C2" w14:textId="7E715489" w:rsidR="00C21983" w:rsidRPr="0051538C" w:rsidRDefault="00C21983" w:rsidP="00B14B06">
            <w:pPr>
              <w:numPr>
                <w:ilvl w:val="0"/>
                <w:numId w:val="34"/>
              </w:numPr>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20% de la cantidad aprobada de Medicare para DME (como sillas de ruedas, andadores, camas de hospital y otros equipos).</w:t>
            </w:r>
          </w:p>
        </w:tc>
      </w:tr>
      <w:tr w:rsidR="00C21983" w:rsidRPr="00503E65" w14:paraId="280EB5C6"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761CCAB6" w14:textId="77777777" w:rsidR="00C21983" w:rsidRPr="0051538C" w:rsidRDefault="00C21983" w:rsidP="00B14B06">
            <w:pPr>
              <w:rPr>
                <w:rFonts w:asciiTheme="minorHAnsi" w:eastAsia="Times New Roman" w:hAnsiTheme="minorHAnsi" w:cstheme="minorHAnsi"/>
                <w:sz w:val="23"/>
                <w:szCs w:val="23"/>
              </w:rPr>
            </w:pPr>
            <w:r w:rsidRPr="0051538C">
              <w:rPr>
                <w:rFonts w:asciiTheme="minorHAnsi" w:hAnsiTheme="minorHAnsi"/>
                <w:sz w:val="23"/>
                <w:szCs w:val="23"/>
              </w:rPr>
              <w:t>Hospitalización</w:t>
            </w:r>
          </w:p>
        </w:tc>
        <w:tc>
          <w:tcPr>
            <w:tcW w:w="4032" w:type="pct"/>
          </w:tcPr>
          <w:p w14:paraId="4999B056" w14:textId="0C24E4FC" w:rsidR="00C21983" w:rsidRPr="0051538C" w:rsidRDefault="00C21983" w:rsidP="00B14B06">
            <w:pPr>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20% de la cantidad aprobada de Medicare para la mayoría de los servicios del médico cuando usted está hospitalizado</w:t>
            </w:r>
          </w:p>
        </w:tc>
      </w:tr>
      <w:tr w:rsidR="00C21983" w:rsidRPr="00503E65" w14:paraId="01A9EE99" w14:textId="77777777" w:rsidTr="00B14B06">
        <w:trPr>
          <w:cantSplit/>
          <w:trHeight w:val="1034"/>
        </w:trPr>
        <w:tc>
          <w:tcPr>
            <w:cnfStyle w:val="001000000000" w:firstRow="0" w:lastRow="0" w:firstColumn="1" w:lastColumn="0" w:oddVBand="0" w:evenVBand="0" w:oddHBand="0" w:evenHBand="0" w:firstRowFirstColumn="0" w:firstRowLastColumn="0" w:lastRowFirstColumn="0" w:lastRowLastColumn="0"/>
            <w:tcW w:w="968" w:type="pct"/>
          </w:tcPr>
          <w:p w14:paraId="5760414C" w14:textId="6A3135FE" w:rsidR="00C21983" w:rsidRPr="0051538C" w:rsidRDefault="00C21983" w:rsidP="00B14B06">
            <w:pPr>
              <w:spacing w:after="120"/>
              <w:rPr>
                <w:rFonts w:asciiTheme="minorHAnsi" w:eastAsia="Times New Roman" w:hAnsiTheme="minorHAnsi" w:cstheme="minorHAnsi"/>
                <w:sz w:val="23"/>
                <w:szCs w:val="23"/>
              </w:rPr>
            </w:pPr>
            <w:r w:rsidRPr="0051538C">
              <w:rPr>
                <w:rFonts w:asciiTheme="minorHAnsi" w:hAnsiTheme="minorHAnsi"/>
                <w:sz w:val="23"/>
                <w:szCs w:val="23"/>
              </w:rPr>
              <w:t xml:space="preserve">Cuidados Ambulatorios </w:t>
            </w:r>
            <w:r w:rsidR="00B14B06" w:rsidRPr="0051538C">
              <w:rPr>
                <w:rFonts w:asciiTheme="minorHAnsi" w:hAnsiTheme="minorHAnsi"/>
                <w:sz w:val="23"/>
                <w:szCs w:val="23"/>
              </w:rPr>
              <w:br/>
            </w:r>
            <w:r w:rsidRPr="0051538C">
              <w:rPr>
                <w:rFonts w:asciiTheme="minorHAnsi" w:hAnsiTheme="minorHAnsi"/>
                <w:sz w:val="23"/>
                <w:szCs w:val="23"/>
              </w:rPr>
              <w:t>de Salud Mental</w:t>
            </w:r>
          </w:p>
        </w:tc>
        <w:tc>
          <w:tcPr>
            <w:tcW w:w="4032" w:type="pct"/>
          </w:tcPr>
          <w:p w14:paraId="22B5EEAE" w14:textId="5EEED9C3" w:rsidR="00C21983" w:rsidRPr="0051538C" w:rsidRDefault="00C21983" w:rsidP="000071ED">
            <w:pPr>
              <w:numPr>
                <w:ilvl w:val="0"/>
                <w:numId w:val="35"/>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$0 por su evaluación de depresión anual.</w:t>
            </w:r>
          </w:p>
          <w:p w14:paraId="38925C88" w14:textId="77777777" w:rsidR="00C21983" w:rsidRPr="0051538C" w:rsidRDefault="00C21983" w:rsidP="000071ED">
            <w:pPr>
              <w:numPr>
                <w:ilvl w:val="0"/>
                <w:numId w:val="35"/>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20% la cantidad aprobada por Medicare para visitas con su médico u otro proveedor de atención médica para diagnosticar o tratar su afección.</w:t>
            </w:r>
          </w:p>
          <w:p w14:paraId="61F4A6A5" w14:textId="77777777" w:rsidR="00C21983" w:rsidRPr="0051538C" w:rsidRDefault="00C21983" w:rsidP="00B14B06">
            <w:pPr>
              <w:numPr>
                <w:ilvl w:val="0"/>
                <w:numId w:val="35"/>
              </w:numPr>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 xml:space="preserve">Si usted recibe sus servicios en una clínica o departamento de hospital para pacientes ambulatorios, podría tener que pagar una cantidad adicional al hospital como copago o </w:t>
            </w:r>
            <w:proofErr w:type="spellStart"/>
            <w:r w:rsidRPr="0051538C">
              <w:rPr>
                <w:rFonts w:asciiTheme="minorHAnsi" w:hAnsiTheme="minorHAnsi"/>
                <w:sz w:val="23"/>
                <w:szCs w:val="23"/>
              </w:rPr>
              <w:t>coseguro</w:t>
            </w:r>
            <w:proofErr w:type="spellEnd"/>
            <w:r w:rsidRPr="0051538C">
              <w:rPr>
                <w:rFonts w:asciiTheme="minorHAnsi" w:hAnsiTheme="minorHAnsi"/>
                <w:sz w:val="23"/>
                <w:szCs w:val="23"/>
              </w:rPr>
              <w:t>.</w:t>
            </w:r>
          </w:p>
        </w:tc>
      </w:tr>
      <w:tr w:rsidR="00C21983" w:rsidRPr="00503E65" w14:paraId="2207A32A"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6F331136" w14:textId="77777777" w:rsidR="00C21983" w:rsidRPr="0051538C" w:rsidRDefault="00C21983" w:rsidP="00B14B06">
            <w:pPr>
              <w:spacing w:after="120"/>
              <w:rPr>
                <w:rFonts w:asciiTheme="minorHAnsi" w:eastAsia="Times New Roman" w:hAnsiTheme="minorHAnsi" w:cstheme="minorHAnsi"/>
                <w:sz w:val="23"/>
                <w:szCs w:val="23"/>
              </w:rPr>
            </w:pPr>
            <w:r w:rsidRPr="0051538C">
              <w:rPr>
                <w:rFonts w:asciiTheme="minorHAnsi" w:hAnsiTheme="minorHAnsi"/>
                <w:sz w:val="23"/>
                <w:szCs w:val="23"/>
              </w:rPr>
              <w:t>Cuidados de Salud Mental de Hospitalización Parcial</w:t>
            </w:r>
          </w:p>
        </w:tc>
        <w:tc>
          <w:tcPr>
            <w:tcW w:w="4032" w:type="pct"/>
          </w:tcPr>
          <w:p w14:paraId="29588C1F" w14:textId="77777777" w:rsidR="00DD422C" w:rsidRPr="0051538C" w:rsidRDefault="00DD422C" w:rsidP="000071ED">
            <w:pPr>
              <w:spacing w:after="12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Luego de satisfacer el deducible de la Parte B:</w:t>
            </w:r>
          </w:p>
          <w:p w14:paraId="26465F3A" w14:textId="0A9A5D02" w:rsidR="00DD422C" w:rsidRPr="0051538C" w:rsidRDefault="00DD422C" w:rsidP="000071ED">
            <w:pPr>
              <w:pStyle w:val="ListParagraph"/>
              <w:numPr>
                <w:ilvl w:val="0"/>
                <w:numId w:val="40"/>
              </w:numPr>
              <w:spacing w:after="120"/>
              <w:ind w:left="351"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20% la cantidad aprobada por Medicare para cada servicio que recibe de un médico u otros profesionales calificados de salud mental.</w:t>
            </w:r>
          </w:p>
          <w:p w14:paraId="42B482B8" w14:textId="26A45D41" w:rsidR="00C21983" w:rsidRPr="0051538C" w:rsidRDefault="00DD422C" w:rsidP="00B14B06">
            <w:pPr>
              <w:pStyle w:val="ListParagraph"/>
              <w:numPr>
                <w:ilvl w:val="0"/>
                <w:numId w:val="40"/>
              </w:numPr>
              <w:ind w:left="351"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proofErr w:type="spellStart"/>
            <w:r w:rsidRPr="0051538C">
              <w:rPr>
                <w:rFonts w:asciiTheme="minorHAnsi" w:hAnsiTheme="minorHAnsi"/>
                <w:sz w:val="23"/>
                <w:szCs w:val="23"/>
              </w:rPr>
              <w:t>Coseguro</w:t>
            </w:r>
            <w:proofErr w:type="spellEnd"/>
            <w:r w:rsidRPr="0051538C">
              <w:rPr>
                <w:rFonts w:asciiTheme="minorHAnsi" w:hAnsiTheme="minorHAnsi"/>
                <w:sz w:val="23"/>
                <w:szCs w:val="23"/>
              </w:rPr>
              <w:t xml:space="preserve"> por cada día de servicios de hospitalización parcial en un departamento de hospital para pacientes ambulatorios o centro de salud mental comunitario.</w:t>
            </w:r>
          </w:p>
        </w:tc>
      </w:tr>
      <w:tr w:rsidR="00C21983" w:rsidRPr="00503E65" w14:paraId="5A7C423A" w14:textId="77777777" w:rsidTr="000C7DC0">
        <w:trPr>
          <w:cantSplit/>
        </w:trPr>
        <w:tc>
          <w:tcPr>
            <w:cnfStyle w:val="001000000000" w:firstRow="0" w:lastRow="0" w:firstColumn="1" w:lastColumn="0" w:oddVBand="0" w:evenVBand="0" w:oddHBand="0" w:evenHBand="0" w:firstRowFirstColumn="0" w:firstRowLastColumn="0" w:lastRowFirstColumn="0" w:lastRowLastColumn="0"/>
            <w:tcW w:w="968" w:type="pct"/>
          </w:tcPr>
          <w:p w14:paraId="1A0B3F54" w14:textId="77777777" w:rsidR="00C21983" w:rsidRPr="0051538C" w:rsidRDefault="00C21983" w:rsidP="00B14B06">
            <w:pPr>
              <w:rPr>
                <w:rFonts w:asciiTheme="minorHAnsi" w:eastAsia="Times New Roman" w:hAnsiTheme="minorHAnsi" w:cstheme="minorHAnsi"/>
                <w:sz w:val="23"/>
                <w:szCs w:val="23"/>
              </w:rPr>
            </w:pPr>
            <w:r w:rsidRPr="0051538C">
              <w:rPr>
                <w:rFonts w:asciiTheme="minorHAnsi" w:hAnsiTheme="minorHAnsi"/>
                <w:sz w:val="23"/>
                <w:szCs w:val="23"/>
              </w:rPr>
              <w:t>Atención del hospital para pacientes ambulatorios</w:t>
            </w:r>
          </w:p>
        </w:tc>
        <w:tc>
          <w:tcPr>
            <w:tcW w:w="4032" w:type="pct"/>
          </w:tcPr>
          <w:p w14:paraId="3C892E6A" w14:textId="2DF54696" w:rsidR="00C21983" w:rsidRPr="0051538C" w:rsidRDefault="00C21983" w:rsidP="00C21983">
            <w:pPr>
              <w:numPr>
                <w:ilvl w:val="0"/>
                <w:numId w:val="37"/>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 xml:space="preserve">Por lo general, el 20% de la cantidad aprobada por Medicare para los servicios del médico y de otro proveedor médico. </w:t>
            </w:r>
          </w:p>
          <w:p w14:paraId="75C67B7C" w14:textId="77777777" w:rsidR="00C21983" w:rsidRPr="0051538C" w:rsidRDefault="00C21983" w:rsidP="00C21983">
            <w:pPr>
              <w:numPr>
                <w:ilvl w:val="0"/>
                <w:numId w:val="37"/>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Usted también pagará un copago al hospital por cada servicio que recibe en un entorno de hospital para pacientes ambulatorios (excepto por ciertos servicios preventivos). En la mayoría de los casos, su copago no será mayor al deducible por estadía hospitalaria de la Parte A.</w:t>
            </w:r>
          </w:p>
        </w:tc>
      </w:tr>
    </w:tbl>
    <w:p w14:paraId="6C058069" w14:textId="05849A39" w:rsidR="00C21983" w:rsidRPr="0051538C" w:rsidRDefault="00C21983" w:rsidP="00C21983">
      <w:pPr>
        <w:tabs>
          <w:tab w:val="left" w:pos="100"/>
        </w:tabs>
        <w:spacing w:before="120"/>
        <w:rPr>
          <w:rFonts w:asciiTheme="minorHAnsi" w:hAnsiTheme="minorHAnsi" w:cstheme="minorHAnsi"/>
          <w:sz w:val="23"/>
          <w:szCs w:val="23"/>
        </w:rPr>
      </w:pPr>
      <w:r w:rsidRPr="0051538C">
        <w:rPr>
          <w:rFonts w:asciiTheme="minorHAnsi" w:hAnsiTheme="minorHAnsi"/>
          <w:b/>
          <w:color w:val="070707"/>
          <w:sz w:val="23"/>
          <w:szCs w:val="23"/>
        </w:rPr>
        <w:t>NOTA:</w:t>
      </w:r>
      <w:r w:rsidRPr="0051538C">
        <w:rPr>
          <w:rFonts w:asciiTheme="minorHAnsi" w:hAnsiTheme="minorHAnsi"/>
          <w:color w:val="070707"/>
          <w:sz w:val="23"/>
          <w:szCs w:val="23"/>
        </w:rPr>
        <w:t xml:space="preserve"> Todos los Planes de Medicare </w:t>
      </w:r>
      <w:proofErr w:type="spellStart"/>
      <w:r w:rsidRPr="0051538C">
        <w:rPr>
          <w:rFonts w:asciiTheme="minorHAnsi" w:hAnsiTheme="minorHAnsi"/>
          <w:color w:val="070707"/>
          <w:sz w:val="23"/>
          <w:szCs w:val="23"/>
        </w:rPr>
        <w:t>Advantage</w:t>
      </w:r>
      <w:proofErr w:type="spellEnd"/>
      <w:r w:rsidRPr="0051538C">
        <w:rPr>
          <w:rFonts w:asciiTheme="minorHAnsi" w:hAnsiTheme="minorHAnsi"/>
          <w:color w:val="070707"/>
          <w:sz w:val="23"/>
          <w:szCs w:val="23"/>
        </w:rPr>
        <w:t xml:space="preserve"> (MA) deberán cubrir estos servicios. Si está inscrito en un Plan MA, los costos pueden variar según el plan y podrían ser mayores o menores de los costos en Medicare Original. Revise la </w:t>
      </w:r>
      <w:r w:rsidR="00B14B06" w:rsidRPr="0051538C">
        <w:rPr>
          <w:rFonts w:asciiTheme="minorHAnsi" w:hAnsiTheme="minorHAnsi"/>
          <w:color w:val="070707"/>
          <w:sz w:val="23"/>
          <w:szCs w:val="23"/>
        </w:rPr>
        <w:t>“</w:t>
      </w:r>
      <w:r w:rsidRPr="0051538C">
        <w:rPr>
          <w:rFonts w:asciiTheme="minorHAnsi" w:hAnsiTheme="minorHAnsi"/>
          <w:sz w:val="23"/>
          <w:szCs w:val="23"/>
        </w:rPr>
        <w:t>Evidencia de Cobertura</w:t>
      </w:r>
      <w:r w:rsidR="00B14B06" w:rsidRPr="0051538C">
        <w:rPr>
          <w:rFonts w:asciiTheme="minorHAnsi" w:hAnsiTheme="minorHAnsi"/>
          <w:color w:val="070707"/>
          <w:sz w:val="23"/>
          <w:szCs w:val="23"/>
        </w:rPr>
        <w:t>”</w:t>
      </w:r>
      <w:r w:rsidRPr="0051538C">
        <w:rPr>
          <w:rFonts w:asciiTheme="minorHAnsi" w:hAnsiTheme="minorHAnsi"/>
          <w:color w:val="070707"/>
          <w:sz w:val="23"/>
          <w:szCs w:val="23"/>
        </w:rPr>
        <w:t xml:space="preserve"> de su plan.</w:t>
      </w:r>
    </w:p>
    <w:p w14:paraId="392AAA20" w14:textId="6B813E33" w:rsidR="00824D7B" w:rsidRPr="0051538C" w:rsidRDefault="00B55C5F" w:rsidP="00C96DBA">
      <w:pPr>
        <w:pageBreakBefore/>
        <w:widowControl/>
        <w:autoSpaceDE/>
        <w:autoSpaceDN/>
        <w:spacing w:before="120" w:after="240"/>
        <w:rPr>
          <w:rFonts w:asciiTheme="minorHAnsi" w:eastAsiaTheme="minorEastAsia" w:cs="Arial"/>
          <w:color w:val="000000"/>
          <w:kern w:val="24"/>
          <w:sz w:val="23"/>
          <w:szCs w:val="23"/>
        </w:rPr>
      </w:pPr>
      <w:r w:rsidRPr="0051538C">
        <w:rPr>
          <w:rFonts w:asciiTheme="minorHAnsi" w:hAnsiTheme="minorHAnsi"/>
          <w:b/>
          <w:sz w:val="23"/>
          <w:szCs w:val="23"/>
        </w:rPr>
        <w:lastRenderedPageBreak/>
        <w:t>El cuadro a continuación muestra las Cantidades de Ajuste Mensual Acorde con sus Ingresos (IRMAA) de la Parte B.</w:t>
      </w:r>
      <w:r w:rsidRPr="0051538C">
        <w:rPr>
          <w:rFonts w:asciiTheme="minorHAnsi" w:hAnsiTheme="minorHAnsi"/>
          <w:sz w:val="23"/>
          <w:szCs w:val="23"/>
        </w:rPr>
        <w:t xml:space="preserve"> IRMAA es un cargo adicional que se agrega a su prima. </w:t>
      </w:r>
      <w:r w:rsidRPr="0051538C">
        <w:rPr>
          <w:rFonts w:asciiTheme="minorHAnsi"/>
          <w:color w:val="000000"/>
          <w:sz w:val="23"/>
          <w:szCs w:val="23"/>
        </w:rPr>
        <w:t>Las primas totales de la Parte B para 2025 se presentan a continuación.</w:t>
      </w:r>
    </w:p>
    <w:p w14:paraId="5BBB23F9" w14:textId="32B5895F" w:rsidR="000071ED" w:rsidRPr="00574062" w:rsidRDefault="000071ED" w:rsidP="000071ED">
      <w:pPr>
        <w:pStyle w:val="Heading2NTP"/>
        <w:spacing w:after="240"/>
      </w:pPr>
      <w:r>
        <w:t>Si su clasificación fiscal e ingresos anuales en 2023 fueron</w:t>
      </w:r>
    </w:p>
    <w:tbl>
      <w:tblPr>
        <w:tblStyle w:val="GridTable4-Accent13"/>
        <w:tblW w:w="5000" w:type="pct"/>
        <w:tblLook w:val="04A0" w:firstRow="1" w:lastRow="0" w:firstColumn="1" w:lastColumn="0" w:noHBand="0" w:noVBand="1"/>
      </w:tblPr>
      <w:tblGrid>
        <w:gridCol w:w="3909"/>
        <w:gridCol w:w="3891"/>
        <w:gridCol w:w="4098"/>
        <w:gridCol w:w="2492"/>
      </w:tblGrid>
      <w:tr w:rsidR="00C21983" w:rsidRPr="00C21983" w14:paraId="2A7F2B8A" w14:textId="77777777" w:rsidTr="00AC4B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21CED858" w14:textId="4B751D2C" w:rsidR="00C21983" w:rsidRPr="00C21983" w:rsidRDefault="00C21983" w:rsidP="00AD1A9D">
            <w:pPr>
              <w:rPr>
                <w:rFonts w:asciiTheme="minorHAnsi" w:eastAsia="Times New Roman" w:hAnsiTheme="minorHAnsi" w:cstheme="minorHAnsi"/>
                <w:sz w:val="28"/>
                <w:szCs w:val="24"/>
              </w:rPr>
            </w:pPr>
            <w:bookmarkStart w:id="4" w:name="_Hlk88074070"/>
            <w:r>
              <w:rPr>
                <w:rFonts w:asciiTheme="minorHAnsi" w:hAnsiTheme="minorHAnsi"/>
                <w:sz w:val="28"/>
              </w:rPr>
              <w:t xml:space="preserve">Presentar una declaración </w:t>
            </w:r>
            <w:r w:rsidR="00C96DBA">
              <w:rPr>
                <w:rFonts w:asciiTheme="minorHAnsi" w:hAnsiTheme="minorHAnsi"/>
                <w:sz w:val="28"/>
              </w:rPr>
              <w:br/>
            </w:r>
            <w:r>
              <w:rPr>
                <w:rFonts w:asciiTheme="minorHAnsi" w:hAnsiTheme="minorHAnsi"/>
                <w:sz w:val="28"/>
              </w:rPr>
              <w:t>de impuestos individual</w:t>
            </w:r>
          </w:p>
        </w:tc>
        <w:tc>
          <w:tcPr>
            <w:tcW w:w="1352" w:type="pct"/>
          </w:tcPr>
          <w:p w14:paraId="174E63D7" w14:textId="74B2D2AE" w:rsidR="00C21983" w:rsidRPr="00C21983" w:rsidRDefault="00C21983" w:rsidP="00AD1A9D">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 xml:space="preserve">Presentar una declaración </w:t>
            </w:r>
            <w:r w:rsidR="00C96DBA">
              <w:rPr>
                <w:rFonts w:asciiTheme="minorHAnsi" w:hAnsiTheme="minorHAnsi"/>
                <w:sz w:val="28"/>
              </w:rPr>
              <w:br/>
            </w:r>
            <w:r>
              <w:rPr>
                <w:rFonts w:asciiTheme="minorHAnsi" w:hAnsiTheme="minorHAnsi"/>
                <w:sz w:val="28"/>
              </w:rPr>
              <w:t>de impuestos conjunta</w:t>
            </w:r>
          </w:p>
        </w:tc>
        <w:tc>
          <w:tcPr>
            <w:tcW w:w="1424" w:type="pct"/>
          </w:tcPr>
          <w:p w14:paraId="3558E79A" w14:textId="1B362BBC" w:rsidR="00C21983" w:rsidRPr="00C21983" w:rsidRDefault="00C21983" w:rsidP="00AD1A9D">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 xml:space="preserve">Presentar una declaración de impuestos de pareja casada </w:t>
            </w:r>
            <w:r w:rsidR="00C96DBA">
              <w:rPr>
                <w:rFonts w:asciiTheme="minorHAnsi" w:hAnsiTheme="minorHAnsi"/>
                <w:sz w:val="28"/>
              </w:rPr>
              <w:br/>
            </w:r>
            <w:r>
              <w:rPr>
                <w:rFonts w:asciiTheme="minorHAnsi" w:hAnsiTheme="minorHAnsi"/>
                <w:sz w:val="28"/>
              </w:rPr>
              <w:t>y separada</w:t>
            </w:r>
          </w:p>
        </w:tc>
        <w:tc>
          <w:tcPr>
            <w:tcW w:w="866" w:type="pct"/>
          </w:tcPr>
          <w:p w14:paraId="2EB9D723" w14:textId="3A4B7370" w:rsidR="00C21983" w:rsidRPr="00C21983" w:rsidRDefault="00C21983" w:rsidP="00AD1A9D">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 xml:space="preserve">Usted paga cada mes (en </w:t>
            </w:r>
            <w:r>
              <w:rPr>
                <w:rFonts w:asciiTheme="minorHAnsi" w:hAnsiTheme="minorHAnsi"/>
                <w:color w:val="FFFFFF" w:themeColor="background1"/>
                <w:sz w:val="28"/>
              </w:rPr>
              <w:t>2025</w:t>
            </w:r>
            <w:r>
              <w:rPr>
                <w:rFonts w:asciiTheme="minorHAnsi" w:hAnsiTheme="minorHAnsi"/>
                <w:sz w:val="28"/>
              </w:rPr>
              <w:t>)</w:t>
            </w:r>
          </w:p>
        </w:tc>
      </w:tr>
      <w:tr w:rsidR="00C21983" w:rsidRPr="00503E65" w14:paraId="514DD442" w14:textId="77777777" w:rsidTr="00C96D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6BB60E18" w14:textId="5CBC1056" w:rsidR="00C21983" w:rsidRPr="0051538C" w:rsidRDefault="00C21983" w:rsidP="00C96DBA">
            <w:pPr>
              <w:spacing w:before="120" w:after="120"/>
              <w:rPr>
                <w:rFonts w:asciiTheme="minorHAnsi" w:eastAsia="Times New Roman" w:hAnsiTheme="minorHAnsi" w:cstheme="minorHAnsi"/>
                <w:b w:val="0"/>
                <w:sz w:val="23"/>
                <w:szCs w:val="23"/>
              </w:rPr>
            </w:pPr>
            <w:r w:rsidRPr="0051538C">
              <w:rPr>
                <w:rFonts w:asciiTheme="minorHAnsi" w:hAnsiTheme="minorHAnsi"/>
                <w:b w:val="0"/>
                <w:sz w:val="23"/>
                <w:szCs w:val="23"/>
              </w:rPr>
              <w:t>$106,000 o menos</w:t>
            </w:r>
          </w:p>
        </w:tc>
        <w:tc>
          <w:tcPr>
            <w:tcW w:w="1352" w:type="pct"/>
            <w:vAlign w:val="center"/>
          </w:tcPr>
          <w:p w14:paraId="42479B11" w14:textId="485AAD37" w:rsidR="00C21983" w:rsidRPr="0051538C" w:rsidRDefault="00C21983" w:rsidP="00C96DBA">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$212,000 o menos</w:t>
            </w:r>
          </w:p>
        </w:tc>
        <w:tc>
          <w:tcPr>
            <w:tcW w:w="1424" w:type="pct"/>
            <w:vAlign w:val="center"/>
          </w:tcPr>
          <w:p w14:paraId="5014A7D4" w14:textId="0F129E24" w:rsidR="00C21983" w:rsidRPr="0051538C" w:rsidRDefault="00C21983" w:rsidP="00C96DBA">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$106,000 o menos</w:t>
            </w:r>
          </w:p>
        </w:tc>
        <w:tc>
          <w:tcPr>
            <w:tcW w:w="866" w:type="pct"/>
            <w:vAlign w:val="center"/>
          </w:tcPr>
          <w:p w14:paraId="437742E3" w14:textId="7609BF29" w:rsidR="00C21983" w:rsidRPr="0051538C" w:rsidRDefault="00C21983" w:rsidP="00C96DBA">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$185.00</w:t>
            </w:r>
          </w:p>
        </w:tc>
      </w:tr>
      <w:tr w:rsidR="00C21983" w:rsidRPr="00503E65" w14:paraId="5AB86057" w14:textId="77777777" w:rsidTr="00C96DBA">
        <w:tc>
          <w:tcPr>
            <w:cnfStyle w:val="001000000000" w:firstRow="0" w:lastRow="0" w:firstColumn="1" w:lastColumn="0" w:oddVBand="0" w:evenVBand="0" w:oddHBand="0" w:evenHBand="0" w:firstRowFirstColumn="0" w:firstRowLastColumn="0" w:lastRowFirstColumn="0" w:lastRowLastColumn="0"/>
            <w:tcW w:w="1358" w:type="pct"/>
            <w:vAlign w:val="center"/>
          </w:tcPr>
          <w:p w14:paraId="31D4C0FE" w14:textId="783B2358" w:rsidR="00C21983" w:rsidRPr="0051538C" w:rsidRDefault="00C21983" w:rsidP="00C96DBA">
            <w:pPr>
              <w:spacing w:before="120" w:after="120"/>
              <w:rPr>
                <w:rFonts w:asciiTheme="minorHAnsi" w:eastAsia="Times New Roman" w:hAnsiTheme="minorHAnsi" w:cstheme="minorHAnsi"/>
                <w:b w:val="0"/>
                <w:sz w:val="23"/>
                <w:szCs w:val="23"/>
              </w:rPr>
            </w:pPr>
            <w:r w:rsidRPr="0051538C">
              <w:rPr>
                <w:rFonts w:asciiTheme="minorHAnsi" w:hAnsiTheme="minorHAnsi"/>
                <w:b w:val="0"/>
                <w:sz w:val="23"/>
                <w:szCs w:val="23"/>
              </w:rPr>
              <w:t>Más de $106,000 hasta $133,000</w:t>
            </w:r>
          </w:p>
        </w:tc>
        <w:tc>
          <w:tcPr>
            <w:tcW w:w="1352" w:type="pct"/>
            <w:vAlign w:val="center"/>
          </w:tcPr>
          <w:p w14:paraId="49FCA205" w14:textId="6A7493F4" w:rsidR="00C21983" w:rsidRPr="0051538C" w:rsidRDefault="00C21983" w:rsidP="00C96DBA">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Más de $212,000 hasta $266,000</w:t>
            </w:r>
          </w:p>
        </w:tc>
        <w:tc>
          <w:tcPr>
            <w:tcW w:w="1424" w:type="pct"/>
            <w:vAlign w:val="center"/>
          </w:tcPr>
          <w:p w14:paraId="7BE07A2C" w14:textId="77777777" w:rsidR="00C21983" w:rsidRPr="0051538C" w:rsidRDefault="00C21983" w:rsidP="00C96DBA">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No corresponde</w:t>
            </w:r>
          </w:p>
        </w:tc>
        <w:tc>
          <w:tcPr>
            <w:tcW w:w="866" w:type="pct"/>
            <w:vAlign w:val="center"/>
          </w:tcPr>
          <w:p w14:paraId="6DBBDA73" w14:textId="0816E8DF" w:rsidR="00C21983" w:rsidRPr="0051538C" w:rsidRDefault="00C21983" w:rsidP="00C96DBA">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$259.00</w:t>
            </w:r>
          </w:p>
        </w:tc>
      </w:tr>
      <w:tr w:rsidR="00C21983" w:rsidRPr="00503E65" w14:paraId="546560C6" w14:textId="77777777" w:rsidTr="00C96D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6E54DF77" w14:textId="2039FB9A" w:rsidR="00C21983" w:rsidRPr="0051538C" w:rsidRDefault="00C21983" w:rsidP="00C96DBA">
            <w:pPr>
              <w:spacing w:before="120" w:after="120"/>
              <w:rPr>
                <w:rFonts w:asciiTheme="minorHAnsi" w:eastAsia="Times New Roman" w:hAnsiTheme="minorHAnsi" w:cstheme="minorHAnsi"/>
                <w:b w:val="0"/>
                <w:sz w:val="23"/>
                <w:szCs w:val="23"/>
              </w:rPr>
            </w:pPr>
            <w:r w:rsidRPr="0051538C">
              <w:rPr>
                <w:rFonts w:asciiTheme="minorHAnsi" w:hAnsiTheme="minorHAnsi"/>
                <w:b w:val="0"/>
                <w:sz w:val="23"/>
                <w:szCs w:val="23"/>
              </w:rPr>
              <w:t>Más de $133,000 hasta $167,000</w:t>
            </w:r>
          </w:p>
        </w:tc>
        <w:tc>
          <w:tcPr>
            <w:tcW w:w="1352" w:type="pct"/>
            <w:vAlign w:val="center"/>
          </w:tcPr>
          <w:p w14:paraId="490DCDB8" w14:textId="14E87CFE" w:rsidR="00C21983" w:rsidRPr="0051538C" w:rsidRDefault="00C21983" w:rsidP="00C96DBA">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Más de $266,000 hasta $334,000</w:t>
            </w:r>
          </w:p>
        </w:tc>
        <w:tc>
          <w:tcPr>
            <w:tcW w:w="1424" w:type="pct"/>
            <w:vAlign w:val="center"/>
          </w:tcPr>
          <w:p w14:paraId="3199DE7E" w14:textId="77777777" w:rsidR="00C21983" w:rsidRPr="0051538C" w:rsidRDefault="00C21983" w:rsidP="00C96DBA">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No corresponde</w:t>
            </w:r>
          </w:p>
        </w:tc>
        <w:tc>
          <w:tcPr>
            <w:tcW w:w="866" w:type="pct"/>
            <w:vAlign w:val="center"/>
          </w:tcPr>
          <w:p w14:paraId="76F948A9" w14:textId="2EEB1FDF" w:rsidR="00C21983" w:rsidRPr="0051538C" w:rsidRDefault="00C21983" w:rsidP="00C96DBA">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$370.00</w:t>
            </w:r>
          </w:p>
        </w:tc>
      </w:tr>
      <w:tr w:rsidR="00C21983" w:rsidRPr="00503E65" w14:paraId="28B10484" w14:textId="77777777" w:rsidTr="00C96DBA">
        <w:tc>
          <w:tcPr>
            <w:cnfStyle w:val="001000000000" w:firstRow="0" w:lastRow="0" w:firstColumn="1" w:lastColumn="0" w:oddVBand="0" w:evenVBand="0" w:oddHBand="0" w:evenHBand="0" w:firstRowFirstColumn="0" w:firstRowLastColumn="0" w:lastRowFirstColumn="0" w:lastRowLastColumn="0"/>
            <w:tcW w:w="1358" w:type="pct"/>
            <w:vAlign w:val="center"/>
          </w:tcPr>
          <w:p w14:paraId="503E5CA0" w14:textId="3FD2D980" w:rsidR="00C21983" w:rsidRPr="0051538C" w:rsidRDefault="00C21983" w:rsidP="00C96DBA">
            <w:pPr>
              <w:spacing w:before="120" w:after="120"/>
              <w:rPr>
                <w:rFonts w:asciiTheme="minorHAnsi" w:eastAsia="Times New Roman" w:hAnsiTheme="minorHAnsi" w:cstheme="minorHAnsi"/>
                <w:b w:val="0"/>
                <w:sz w:val="23"/>
                <w:szCs w:val="23"/>
              </w:rPr>
            </w:pPr>
            <w:r w:rsidRPr="0051538C">
              <w:rPr>
                <w:rFonts w:asciiTheme="minorHAnsi" w:hAnsiTheme="minorHAnsi"/>
                <w:b w:val="0"/>
                <w:sz w:val="23"/>
                <w:szCs w:val="23"/>
              </w:rPr>
              <w:t>Más de $167,000 hasta $200,000</w:t>
            </w:r>
          </w:p>
        </w:tc>
        <w:tc>
          <w:tcPr>
            <w:tcW w:w="1352" w:type="pct"/>
            <w:vAlign w:val="center"/>
          </w:tcPr>
          <w:p w14:paraId="03745805" w14:textId="4A3B1BD7" w:rsidR="00C21983" w:rsidRPr="0051538C" w:rsidRDefault="00C21983" w:rsidP="00C96DBA">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Más de $334,000 hasta $400,000</w:t>
            </w:r>
          </w:p>
        </w:tc>
        <w:tc>
          <w:tcPr>
            <w:tcW w:w="1424" w:type="pct"/>
            <w:vAlign w:val="center"/>
          </w:tcPr>
          <w:p w14:paraId="21616EE4" w14:textId="77777777" w:rsidR="00C21983" w:rsidRPr="0051538C" w:rsidRDefault="00C21983" w:rsidP="00C96DBA">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No corresponde</w:t>
            </w:r>
          </w:p>
        </w:tc>
        <w:tc>
          <w:tcPr>
            <w:tcW w:w="866" w:type="pct"/>
            <w:vAlign w:val="center"/>
          </w:tcPr>
          <w:p w14:paraId="31E7E7B6" w14:textId="3682FD1E" w:rsidR="00C21983" w:rsidRPr="0051538C" w:rsidRDefault="00C21983" w:rsidP="00C96DBA">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$480.90</w:t>
            </w:r>
          </w:p>
        </w:tc>
      </w:tr>
      <w:tr w:rsidR="00C21983" w:rsidRPr="00503E65" w14:paraId="627A8BDE" w14:textId="77777777" w:rsidTr="00C96DBA">
        <w:trPr>
          <w:cnfStyle w:val="000000100000" w:firstRow="0" w:lastRow="0" w:firstColumn="0" w:lastColumn="0" w:oddVBand="0" w:evenVBand="0" w:oddHBand="1"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2A06F5CD" w14:textId="0D8CC840" w:rsidR="00C21983" w:rsidRPr="0051538C" w:rsidRDefault="00C21983" w:rsidP="00C96DBA">
            <w:pPr>
              <w:spacing w:before="120" w:after="120"/>
              <w:rPr>
                <w:rFonts w:asciiTheme="minorHAnsi" w:eastAsia="Times New Roman" w:hAnsiTheme="minorHAnsi" w:cstheme="minorHAnsi"/>
                <w:b w:val="0"/>
                <w:sz w:val="23"/>
                <w:szCs w:val="23"/>
              </w:rPr>
            </w:pPr>
            <w:r w:rsidRPr="0051538C">
              <w:rPr>
                <w:rFonts w:asciiTheme="minorHAnsi" w:hAnsiTheme="minorHAnsi"/>
                <w:b w:val="0"/>
                <w:sz w:val="23"/>
                <w:szCs w:val="23"/>
              </w:rPr>
              <w:t>Más de $200,000 y menos de $500,000</w:t>
            </w:r>
          </w:p>
        </w:tc>
        <w:tc>
          <w:tcPr>
            <w:tcW w:w="1352" w:type="pct"/>
            <w:vAlign w:val="center"/>
          </w:tcPr>
          <w:p w14:paraId="681075A3" w14:textId="71F7C9B2" w:rsidR="00C21983" w:rsidRPr="0051538C" w:rsidRDefault="00C21983" w:rsidP="00C96DBA">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Más de $400,000 y menos de $750,000</w:t>
            </w:r>
          </w:p>
        </w:tc>
        <w:tc>
          <w:tcPr>
            <w:tcW w:w="1424" w:type="pct"/>
            <w:vAlign w:val="center"/>
          </w:tcPr>
          <w:p w14:paraId="5A7DE8F2" w14:textId="27BE7D43" w:rsidR="00C21983" w:rsidRPr="0051538C" w:rsidRDefault="00C21983" w:rsidP="00C96DBA">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Más de $106,000 y menos de $394,000</w:t>
            </w:r>
          </w:p>
        </w:tc>
        <w:tc>
          <w:tcPr>
            <w:tcW w:w="866" w:type="pct"/>
            <w:vAlign w:val="center"/>
          </w:tcPr>
          <w:p w14:paraId="2B5E79FC" w14:textId="4810717A" w:rsidR="00C21983" w:rsidRPr="0051538C" w:rsidRDefault="00C21983" w:rsidP="00C96DBA">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$591.90</w:t>
            </w:r>
          </w:p>
        </w:tc>
      </w:tr>
      <w:tr w:rsidR="00C21983" w:rsidRPr="00503E65" w14:paraId="13DF71CD" w14:textId="77777777" w:rsidTr="00C96DBA">
        <w:tc>
          <w:tcPr>
            <w:cnfStyle w:val="001000000000" w:firstRow="0" w:lastRow="0" w:firstColumn="1" w:lastColumn="0" w:oddVBand="0" w:evenVBand="0" w:oddHBand="0" w:evenHBand="0" w:firstRowFirstColumn="0" w:firstRowLastColumn="0" w:lastRowFirstColumn="0" w:lastRowLastColumn="0"/>
            <w:tcW w:w="1358" w:type="pct"/>
            <w:vAlign w:val="center"/>
          </w:tcPr>
          <w:p w14:paraId="12549CE4" w14:textId="77777777" w:rsidR="00C21983" w:rsidRPr="0051538C" w:rsidRDefault="00C21983" w:rsidP="00C96DBA">
            <w:pPr>
              <w:spacing w:before="120" w:after="120"/>
              <w:rPr>
                <w:rFonts w:asciiTheme="minorHAnsi" w:eastAsia="Times New Roman" w:hAnsiTheme="minorHAnsi" w:cstheme="minorHAnsi"/>
                <w:b w:val="0"/>
                <w:sz w:val="23"/>
                <w:szCs w:val="23"/>
              </w:rPr>
            </w:pPr>
            <w:r w:rsidRPr="0051538C">
              <w:rPr>
                <w:rFonts w:asciiTheme="minorHAnsi" w:hAnsiTheme="minorHAnsi"/>
                <w:b w:val="0"/>
                <w:sz w:val="23"/>
                <w:szCs w:val="23"/>
              </w:rPr>
              <w:t>$500,000 o más</w:t>
            </w:r>
          </w:p>
        </w:tc>
        <w:tc>
          <w:tcPr>
            <w:tcW w:w="1352" w:type="pct"/>
            <w:vAlign w:val="center"/>
          </w:tcPr>
          <w:p w14:paraId="5313971E" w14:textId="77777777" w:rsidR="00C21983" w:rsidRPr="0051538C" w:rsidRDefault="00C21983" w:rsidP="00C96DBA">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$750,000 o más</w:t>
            </w:r>
          </w:p>
        </w:tc>
        <w:tc>
          <w:tcPr>
            <w:tcW w:w="1424" w:type="pct"/>
            <w:vAlign w:val="center"/>
          </w:tcPr>
          <w:p w14:paraId="31992DE5" w14:textId="7174B69F" w:rsidR="00C21983" w:rsidRPr="0051538C" w:rsidRDefault="00C21983" w:rsidP="00C96DBA">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$394,000 o más</w:t>
            </w:r>
          </w:p>
        </w:tc>
        <w:tc>
          <w:tcPr>
            <w:tcW w:w="866" w:type="pct"/>
            <w:vAlign w:val="center"/>
          </w:tcPr>
          <w:p w14:paraId="5C82756B" w14:textId="4F0DF4B0" w:rsidR="00C21983" w:rsidRPr="0051538C" w:rsidRDefault="00C21983" w:rsidP="00C96DBA">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$628.90</w:t>
            </w:r>
          </w:p>
        </w:tc>
      </w:tr>
      <w:bookmarkEnd w:id="4"/>
    </w:tbl>
    <w:p w14:paraId="7E1D7679" w14:textId="77777777" w:rsidR="00C21983" w:rsidRPr="00C21983" w:rsidRDefault="00C21983" w:rsidP="00C21983">
      <w:pPr>
        <w:tabs>
          <w:tab w:val="left" w:pos="100"/>
        </w:tabs>
        <w:spacing w:before="120"/>
        <w:rPr>
          <w:rFonts w:asciiTheme="minorHAnsi" w:hAnsiTheme="minorHAnsi" w:cstheme="minorHAnsi"/>
          <w:sz w:val="24"/>
          <w:szCs w:val="24"/>
        </w:rPr>
      </w:pPr>
    </w:p>
    <w:p w14:paraId="4B56F837" w14:textId="39902531" w:rsidR="00C21983" w:rsidRPr="00C21983" w:rsidRDefault="00C21983" w:rsidP="000071ED">
      <w:pPr>
        <w:pStyle w:val="Heading1NTP"/>
        <w:rPr>
          <w:rFonts w:eastAsia="Times New Roman"/>
        </w:rPr>
      </w:pPr>
      <w:r>
        <w:t>Parte D (Cobertura de Medicare para medicamentos)</w:t>
      </w:r>
    </w:p>
    <w:p w14:paraId="7AB3F986" w14:textId="0D66D07B" w:rsidR="00C21983" w:rsidRPr="0051538C" w:rsidRDefault="00C21983" w:rsidP="00C21983">
      <w:pPr>
        <w:widowControl/>
        <w:autoSpaceDE/>
        <w:autoSpaceDN/>
        <w:spacing w:before="120"/>
        <w:rPr>
          <w:rFonts w:asciiTheme="minorHAnsi" w:eastAsia="Times New Roman" w:hAnsiTheme="minorHAnsi" w:cstheme="minorHAnsi"/>
          <w:sz w:val="23"/>
          <w:szCs w:val="23"/>
        </w:rPr>
      </w:pPr>
      <w:r w:rsidRPr="0051538C">
        <w:rPr>
          <w:rFonts w:asciiTheme="minorHAnsi" w:hAnsiTheme="minorHAnsi"/>
          <w:b/>
          <w:sz w:val="23"/>
          <w:szCs w:val="23"/>
        </w:rPr>
        <w:t xml:space="preserve">Deducibles, copagos y </w:t>
      </w:r>
      <w:proofErr w:type="spellStart"/>
      <w:r w:rsidRPr="0051538C">
        <w:rPr>
          <w:rFonts w:asciiTheme="minorHAnsi" w:hAnsiTheme="minorHAnsi"/>
          <w:b/>
          <w:sz w:val="23"/>
          <w:szCs w:val="23"/>
        </w:rPr>
        <w:t>coseguro</w:t>
      </w:r>
      <w:proofErr w:type="spellEnd"/>
      <w:r w:rsidRPr="0051538C">
        <w:rPr>
          <w:rFonts w:asciiTheme="minorHAnsi" w:hAnsiTheme="minorHAnsi"/>
          <w:sz w:val="23"/>
          <w:szCs w:val="23"/>
        </w:rPr>
        <w:t xml:space="preserve"> - La cantidad que usted paga por los deducibles, copagos y/o </w:t>
      </w:r>
      <w:proofErr w:type="spellStart"/>
      <w:r w:rsidRPr="0051538C">
        <w:rPr>
          <w:rFonts w:asciiTheme="minorHAnsi" w:hAnsiTheme="minorHAnsi"/>
          <w:sz w:val="23"/>
          <w:szCs w:val="23"/>
        </w:rPr>
        <w:t>coseguro</w:t>
      </w:r>
      <w:proofErr w:type="spellEnd"/>
      <w:r w:rsidRPr="0051538C">
        <w:rPr>
          <w:rFonts w:asciiTheme="minorHAnsi" w:hAnsiTheme="minorHAnsi"/>
          <w:sz w:val="23"/>
          <w:szCs w:val="23"/>
        </w:rPr>
        <w:t xml:space="preserve"> de la Parte D varía según el plan. Busque costos específicos de cobertura Medicare para medicamentos en </w:t>
      </w:r>
      <w:hyperlink r:id="rId12" w:anchor="/?year=2024&amp;amp;lang=es" w:history="1">
        <w:r w:rsidRPr="0051538C">
          <w:rPr>
            <w:rFonts w:asciiTheme="minorHAnsi" w:hAnsiTheme="minorHAnsi"/>
            <w:color w:val="0000FF" w:themeColor="hyperlink"/>
            <w:sz w:val="23"/>
            <w:szCs w:val="23"/>
            <w:u w:val="single"/>
          </w:rPr>
          <w:t>es.Medicare.gov/plan-compare</w:t>
        </w:r>
      </w:hyperlink>
      <w:r w:rsidRPr="0051538C">
        <w:rPr>
          <w:rFonts w:asciiTheme="minorHAnsi" w:hAnsiTheme="minorHAnsi"/>
          <w:sz w:val="23"/>
          <w:szCs w:val="23"/>
        </w:rPr>
        <w:t>.</w:t>
      </w:r>
    </w:p>
    <w:p w14:paraId="2C73E2F3" w14:textId="494AEEFE" w:rsidR="00D52E56" w:rsidRPr="0051538C" w:rsidRDefault="00D52E56" w:rsidP="00C21983">
      <w:pPr>
        <w:widowControl/>
        <w:autoSpaceDE/>
        <w:autoSpaceDN/>
        <w:spacing w:before="120"/>
        <w:rPr>
          <w:rFonts w:asciiTheme="minorHAnsi" w:eastAsia="Times New Roman" w:hAnsiTheme="minorHAnsi" w:cstheme="minorHAnsi"/>
          <w:b/>
          <w:sz w:val="23"/>
          <w:szCs w:val="23"/>
        </w:rPr>
      </w:pPr>
      <w:r w:rsidRPr="0051538C">
        <w:rPr>
          <w:rFonts w:asciiTheme="minorHAnsi" w:hAnsiTheme="minorHAnsi"/>
          <w:b/>
          <w:sz w:val="23"/>
          <w:szCs w:val="23"/>
        </w:rPr>
        <w:t>Prima base para beneficiarios de la Parte D</w:t>
      </w:r>
      <w:r w:rsidRPr="0051538C">
        <w:rPr>
          <w:rFonts w:asciiTheme="minorHAnsi" w:hAnsiTheme="minorHAnsi"/>
          <w:sz w:val="23"/>
          <w:szCs w:val="23"/>
        </w:rPr>
        <w:t xml:space="preserve"> - </w:t>
      </w:r>
      <w:r w:rsidRPr="0051538C">
        <w:rPr>
          <w:rFonts w:asciiTheme="minorHAnsi" w:hAnsiTheme="minorHAnsi"/>
          <w:b/>
          <w:sz w:val="23"/>
          <w:szCs w:val="23"/>
        </w:rPr>
        <w:t>$36.78</w:t>
      </w:r>
      <w:r w:rsidRPr="0051538C">
        <w:rPr>
          <w:rFonts w:asciiTheme="minorHAnsi" w:hAnsiTheme="minorHAnsi"/>
          <w:sz w:val="23"/>
          <w:szCs w:val="23"/>
        </w:rPr>
        <w:t xml:space="preserve"> (se utiliza para determinar el importe de la multa por inscripción tardía).</w:t>
      </w:r>
    </w:p>
    <w:p w14:paraId="657878CC" w14:textId="1F161016" w:rsidR="00C21983" w:rsidRPr="0051538C" w:rsidRDefault="00C21983" w:rsidP="00C21983">
      <w:pPr>
        <w:widowControl/>
        <w:autoSpaceDE/>
        <w:autoSpaceDN/>
        <w:spacing w:before="120"/>
        <w:rPr>
          <w:rFonts w:asciiTheme="minorHAnsi" w:eastAsia="Times New Roman" w:hAnsiTheme="minorHAnsi" w:cstheme="minorHAnsi"/>
          <w:sz w:val="23"/>
          <w:szCs w:val="23"/>
        </w:rPr>
      </w:pPr>
      <w:r w:rsidRPr="0051538C">
        <w:rPr>
          <w:rFonts w:asciiTheme="minorHAnsi" w:hAnsiTheme="minorHAnsi"/>
          <w:b/>
          <w:bCs/>
          <w:sz w:val="23"/>
          <w:szCs w:val="23"/>
        </w:rPr>
        <w:t xml:space="preserve">Multa por inscripción tardía de la Parte D - </w:t>
      </w:r>
      <w:r w:rsidRPr="0051538C">
        <w:rPr>
          <w:rFonts w:asciiTheme="minorHAnsi" w:hAnsiTheme="minorHAnsi"/>
          <w:sz w:val="23"/>
          <w:szCs w:val="23"/>
        </w:rPr>
        <w:t>Es posible que usted deba pagar una multa por inscripción tardía si se inscribe en cualquier momento después del Período de Inscripción Inicial y cuando haya pasado 63 días seguidos o más sin cobertura Medicare para medicamentos recetados u otra cobertura acreditable. Por lo general, tendrá que pagar esta multa por todo el tiempo que tenga cobertura Medicare para medicamentos. El costo de esta multa dependerá de cuánto tiempo haya pasado sin la Parte D o una cobertura acreditable de medicamentos recetados.</w:t>
      </w:r>
    </w:p>
    <w:p w14:paraId="59BF1255" w14:textId="66ECF9C6" w:rsidR="00C21983" w:rsidRPr="0051538C" w:rsidRDefault="00C21983" w:rsidP="00C21983">
      <w:pPr>
        <w:widowControl/>
        <w:autoSpaceDE/>
        <w:autoSpaceDN/>
        <w:spacing w:before="120"/>
        <w:rPr>
          <w:rFonts w:asciiTheme="minorHAnsi" w:eastAsia="Times New Roman" w:hAnsiTheme="minorHAnsi" w:cstheme="minorHAnsi"/>
          <w:sz w:val="23"/>
          <w:szCs w:val="23"/>
        </w:rPr>
      </w:pPr>
      <w:r w:rsidRPr="0051538C">
        <w:rPr>
          <w:rFonts w:asciiTheme="minorHAnsi" w:hAnsiTheme="minorHAnsi"/>
          <w:sz w:val="23"/>
          <w:szCs w:val="23"/>
        </w:rPr>
        <w:t xml:space="preserve">Actualmente la multa por inscripción tardía se calcula multiplicando el 1% de </w:t>
      </w:r>
      <w:r w:rsidR="00B14B06" w:rsidRPr="0051538C">
        <w:rPr>
          <w:rFonts w:asciiTheme="minorHAnsi" w:hAnsiTheme="minorHAnsi"/>
          <w:sz w:val="23"/>
          <w:szCs w:val="23"/>
        </w:rPr>
        <w:t>“</w:t>
      </w:r>
      <w:r w:rsidRPr="0051538C">
        <w:rPr>
          <w:rFonts w:asciiTheme="minorHAnsi" w:hAnsiTheme="minorHAnsi"/>
          <w:sz w:val="23"/>
          <w:szCs w:val="23"/>
        </w:rPr>
        <w:t>la prima a nivel nacional para beneficiarios</w:t>
      </w:r>
      <w:r w:rsidR="00B14B06" w:rsidRPr="0051538C">
        <w:rPr>
          <w:rFonts w:asciiTheme="minorHAnsi" w:hAnsiTheme="minorHAnsi"/>
          <w:sz w:val="23"/>
          <w:szCs w:val="23"/>
        </w:rPr>
        <w:t>”</w:t>
      </w:r>
      <w:r w:rsidRPr="0051538C">
        <w:rPr>
          <w:rFonts w:asciiTheme="minorHAnsi" w:hAnsiTheme="minorHAnsi"/>
          <w:sz w:val="23"/>
          <w:szCs w:val="23"/>
        </w:rPr>
        <w:t xml:space="preserve"> ($36.78 en 2025) por el número de meses completos que usted haya pasado sin cobertura cuando era elegible pero no tenía ninguna cobertura Medicare para medicamentos (Parte D) y tampoco tenía otro tipo de cobertura acreditable para medicamentos recetados. La cantidad total se redondea al $.10 más cercano y se agrega a su prima mensual.</w:t>
      </w:r>
    </w:p>
    <w:p w14:paraId="122F3A1F" w14:textId="059AF6A6" w:rsidR="00C21983" w:rsidRPr="0051538C" w:rsidRDefault="001F6F56" w:rsidP="00C96DBA">
      <w:pPr>
        <w:pageBreakBefore/>
        <w:widowControl/>
        <w:autoSpaceDE/>
        <w:autoSpaceDN/>
        <w:spacing w:before="120"/>
        <w:rPr>
          <w:rFonts w:asciiTheme="minorHAnsi" w:eastAsia="Times New Roman" w:hAnsiTheme="minorHAnsi" w:cstheme="minorHAnsi"/>
          <w:sz w:val="23"/>
          <w:szCs w:val="23"/>
        </w:rPr>
      </w:pPr>
      <w:r w:rsidRPr="0051538C">
        <w:rPr>
          <w:rFonts w:asciiTheme="minorHAnsi" w:hAnsiTheme="minorHAnsi"/>
          <w:b/>
          <w:sz w:val="23"/>
          <w:szCs w:val="23"/>
        </w:rPr>
        <w:lastRenderedPageBreak/>
        <w:t>El cuadro a continuación muestra las Cantidades de Ajuste Mensual Acorde con sus Ingresos (IRMAA) de la Parte D.</w:t>
      </w:r>
      <w:r w:rsidRPr="0051538C">
        <w:rPr>
          <w:rFonts w:asciiTheme="minorHAnsi" w:hAnsiTheme="minorHAnsi"/>
          <w:sz w:val="23"/>
          <w:szCs w:val="23"/>
        </w:rPr>
        <w:t xml:space="preserve"> La IRMMA es una cantidad adicional que usted podría tener que pagar por su cobertura Medicare para medicamentos recetados. La cantidad depende de sus ingresos, según su declaración de impuestos del IRS. Si sus ingresos están por encima de cierto límite, pagará una IRMAA además de la prima de su plan.</w:t>
      </w:r>
    </w:p>
    <w:p w14:paraId="38D578AD" w14:textId="31648B64" w:rsidR="00C21983" w:rsidRPr="00C21983" w:rsidRDefault="000071ED" w:rsidP="000071ED">
      <w:pPr>
        <w:pStyle w:val="Heading2NTP"/>
        <w:spacing w:after="240"/>
      </w:pPr>
      <w:r>
        <w:t>Si su clasificación fiscal e ingresos anuales en 2023 fueron</w:t>
      </w:r>
    </w:p>
    <w:tbl>
      <w:tblPr>
        <w:tblStyle w:val="GridTable4-Accent14"/>
        <w:tblW w:w="5064" w:type="pct"/>
        <w:tblLook w:val="04A0" w:firstRow="1" w:lastRow="0" w:firstColumn="1" w:lastColumn="0" w:noHBand="0" w:noVBand="1"/>
      </w:tblPr>
      <w:tblGrid>
        <w:gridCol w:w="3868"/>
        <w:gridCol w:w="3845"/>
        <w:gridCol w:w="3856"/>
        <w:gridCol w:w="3005"/>
      </w:tblGrid>
      <w:tr w:rsidR="00C21983" w:rsidRPr="00C21983" w14:paraId="16330D2E" w14:textId="77777777" w:rsidTr="009C3D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68F53F14" w14:textId="7D42548E" w:rsidR="00C21983" w:rsidRPr="00C21983" w:rsidRDefault="00C21983" w:rsidP="00AD1A9D">
            <w:pPr>
              <w:rPr>
                <w:rFonts w:asciiTheme="minorHAnsi" w:eastAsia="Times New Roman" w:hAnsiTheme="minorHAnsi" w:cstheme="minorHAnsi"/>
                <w:sz w:val="28"/>
                <w:szCs w:val="24"/>
              </w:rPr>
            </w:pPr>
            <w:r>
              <w:rPr>
                <w:rFonts w:asciiTheme="minorHAnsi" w:hAnsiTheme="minorHAnsi"/>
                <w:sz w:val="28"/>
              </w:rPr>
              <w:t xml:space="preserve">Presentar una declaración </w:t>
            </w:r>
            <w:r w:rsidR="00C96DBA">
              <w:rPr>
                <w:rFonts w:asciiTheme="minorHAnsi" w:hAnsiTheme="minorHAnsi"/>
                <w:sz w:val="28"/>
              </w:rPr>
              <w:br/>
            </w:r>
            <w:r>
              <w:rPr>
                <w:rFonts w:asciiTheme="minorHAnsi" w:hAnsiTheme="minorHAnsi"/>
                <w:sz w:val="28"/>
              </w:rPr>
              <w:t>de impuestos individual</w:t>
            </w:r>
          </w:p>
        </w:tc>
        <w:tc>
          <w:tcPr>
            <w:tcW w:w="1319" w:type="pct"/>
          </w:tcPr>
          <w:p w14:paraId="2381D894" w14:textId="47C575BB" w:rsidR="00C21983" w:rsidRPr="00C21983" w:rsidRDefault="00C21983" w:rsidP="00AD1A9D">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 xml:space="preserve">Declaración conjunta </w:t>
            </w:r>
            <w:r w:rsidR="00C96DBA">
              <w:rPr>
                <w:rFonts w:asciiTheme="minorHAnsi" w:hAnsiTheme="minorHAnsi"/>
                <w:sz w:val="28"/>
              </w:rPr>
              <w:br/>
            </w:r>
            <w:r>
              <w:rPr>
                <w:rFonts w:asciiTheme="minorHAnsi" w:hAnsiTheme="minorHAnsi"/>
                <w:sz w:val="28"/>
              </w:rPr>
              <w:t>de impuestos</w:t>
            </w:r>
          </w:p>
        </w:tc>
        <w:tc>
          <w:tcPr>
            <w:tcW w:w="1323" w:type="pct"/>
          </w:tcPr>
          <w:p w14:paraId="475E7856" w14:textId="399960C6" w:rsidR="00C21983" w:rsidRPr="00C21983" w:rsidRDefault="00C21983" w:rsidP="00AD1A9D">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 xml:space="preserve">Declaración de impuestos </w:t>
            </w:r>
            <w:r>
              <w:rPr>
                <w:rFonts w:asciiTheme="minorHAnsi" w:hAnsiTheme="minorHAnsi"/>
                <w:sz w:val="28"/>
              </w:rPr>
              <w:br/>
              <w:t>de casados y separados</w:t>
            </w:r>
          </w:p>
        </w:tc>
        <w:tc>
          <w:tcPr>
            <w:tcW w:w="1031" w:type="pct"/>
          </w:tcPr>
          <w:p w14:paraId="0E3B5B87" w14:textId="19CF1D07" w:rsidR="00C21983" w:rsidRPr="00C21983" w:rsidRDefault="00C21983" w:rsidP="00AD1A9D">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 xml:space="preserve">Usted paga cada </w:t>
            </w:r>
            <w:r>
              <w:rPr>
                <w:rFonts w:asciiTheme="minorHAnsi" w:hAnsiTheme="minorHAnsi"/>
                <w:sz w:val="28"/>
              </w:rPr>
              <w:br/>
              <w:t xml:space="preserve">mes (en </w:t>
            </w:r>
            <w:r>
              <w:rPr>
                <w:rFonts w:asciiTheme="minorHAnsi" w:hAnsiTheme="minorHAnsi"/>
                <w:color w:val="FFFFFF" w:themeColor="background1"/>
                <w:sz w:val="28"/>
              </w:rPr>
              <w:t>2024</w:t>
            </w:r>
            <w:r>
              <w:rPr>
                <w:rFonts w:asciiTheme="minorHAnsi" w:hAnsiTheme="minorHAnsi"/>
                <w:sz w:val="28"/>
              </w:rPr>
              <w:t>)</w:t>
            </w:r>
          </w:p>
        </w:tc>
      </w:tr>
      <w:tr w:rsidR="00BD1278" w:rsidRPr="00503E65" w14:paraId="0DA0F495" w14:textId="77777777" w:rsidTr="00C96D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vAlign w:val="center"/>
          </w:tcPr>
          <w:p w14:paraId="3F8D6DF6" w14:textId="4019D7C8" w:rsidR="00BD1278" w:rsidRPr="0051538C" w:rsidRDefault="00BD1278" w:rsidP="00C96DBA">
            <w:pPr>
              <w:spacing w:before="120" w:after="120"/>
              <w:rPr>
                <w:rFonts w:asciiTheme="minorHAnsi" w:eastAsia="Times New Roman" w:hAnsiTheme="minorHAnsi" w:cstheme="minorHAnsi"/>
                <w:b w:val="0"/>
                <w:sz w:val="23"/>
                <w:szCs w:val="23"/>
              </w:rPr>
            </w:pPr>
            <w:r w:rsidRPr="0051538C">
              <w:rPr>
                <w:rFonts w:asciiTheme="minorHAnsi" w:hAnsiTheme="minorHAnsi"/>
                <w:b w:val="0"/>
                <w:sz w:val="23"/>
                <w:szCs w:val="23"/>
              </w:rPr>
              <w:t>$106,000 o menos</w:t>
            </w:r>
          </w:p>
        </w:tc>
        <w:tc>
          <w:tcPr>
            <w:tcW w:w="1319" w:type="pct"/>
            <w:vAlign w:val="center"/>
          </w:tcPr>
          <w:p w14:paraId="2FC03E73" w14:textId="6A59CBEA" w:rsidR="00BD1278" w:rsidRPr="0051538C" w:rsidRDefault="00BD1278" w:rsidP="00C96DBA">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$212,000 o menos</w:t>
            </w:r>
          </w:p>
        </w:tc>
        <w:tc>
          <w:tcPr>
            <w:tcW w:w="1323" w:type="pct"/>
            <w:vAlign w:val="center"/>
          </w:tcPr>
          <w:p w14:paraId="7D289193" w14:textId="3D8B1963" w:rsidR="00BD1278" w:rsidRPr="0051538C" w:rsidRDefault="00BD1278" w:rsidP="00C96DBA">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$106,000 o menos</w:t>
            </w:r>
          </w:p>
        </w:tc>
        <w:tc>
          <w:tcPr>
            <w:tcW w:w="1031" w:type="pct"/>
            <w:vAlign w:val="center"/>
          </w:tcPr>
          <w:p w14:paraId="18659F67" w14:textId="77777777" w:rsidR="00BD1278" w:rsidRPr="0051538C" w:rsidRDefault="00BD1278" w:rsidP="00C96DBA">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La prima de su plan</w:t>
            </w:r>
          </w:p>
        </w:tc>
      </w:tr>
      <w:tr w:rsidR="00BD1278" w:rsidRPr="00503E65" w14:paraId="675C998F" w14:textId="77777777" w:rsidTr="00C96DBA">
        <w:tc>
          <w:tcPr>
            <w:cnfStyle w:val="001000000000" w:firstRow="0" w:lastRow="0" w:firstColumn="1" w:lastColumn="0" w:oddVBand="0" w:evenVBand="0" w:oddHBand="0" w:evenHBand="0" w:firstRowFirstColumn="0" w:firstRowLastColumn="0" w:lastRowFirstColumn="0" w:lastRowLastColumn="0"/>
            <w:tcW w:w="1327" w:type="pct"/>
            <w:vAlign w:val="center"/>
          </w:tcPr>
          <w:p w14:paraId="72D3BA83" w14:textId="22B73727" w:rsidR="00BD1278" w:rsidRPr="0051538C" w:rsidRDefault="00BD1278" w:rsidP="00C96DBA">
            <w:pPr>
              <w:spacing w:before="120" w:after="120"/>
              <w:rPr>
                <w:rFonts w:asciiTheme="minorHAnsi" w:eastAsia="Times New Roman" w:hAnsiTheme="minorHAnsi" w:cstheme="minorHAnsi"/>
                <w:b w:val="0"/>
                <w:sz w:val="23"/>
                <w:szCs w:val="23"/>
              </w:rPr>
            </w:pPr>
            <w:r w:rsidRPr="0051538C">
              <w:rPr>
                <w:rFonts w:asciiTheme="minorHAnsi" w:hAnsiTheme="minorHAnsi"/>
                <w:b w:val="0"/>
                <w:sz w:val="23"/>
                <w:szCs w:val="23"/>
              </w:rPr>
              <w:t>Más de $106,000 hasta $133,000</w:t>
            </w:r>
          </w:p>
        </w:tc>
        <w:tc>
          <w:tcPr>
            <w:tcW w:w="1319" w:type="pct"/>
            <w:vAlign w:val="center"/>
          </w:tcPr>
          <w:p w14:paraId="3FA7313F" w14:textId="5ABEC3D6" w:rsidR="00BD1278" w:rsidRPr="0051538C" w:rsidRDefault="00BD1278" w:rsidP="00C96DBA">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Más de $212,000 hasta $266,000</w:t>
            </w:r>
          </w:p>
        </w:tc>
        <w:tc>
          <w:tcPr>
            <w:tcW w:w="1323" w:type="pct"/>
            <w:vAlign w:val="center"/>
          </w:tcPr>
          <w:p w14:paraId="0C1908E5" w14:textId="77777777" w:rsidR="00BD1278" w:rsidRPr="0051538C" w:rsidRDefault="00BD1278" w:rsidP="00C96DBA">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No corresponde</w:t>
            </w:r>
          </w:p>
        </w:tc>
        <w:tc>
          <w:tcPr>
            <w:tcW w:w="1031" w:type="pct"/>
            <w:vAlign w:val="center"/>
          </w:tcPr>
          <w:p w14:paraId="3776E5D9" w14:textId="40F90C0D" w:rsidR="00BD1278" w:rsidRPr="0051538C" w:rsidRDefault="00BD1278" w:rsidP="00C96DBA">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$13.70 + La prima de su plan</w:t>
            </w:r>
          </w:p>
        </w:tc>
      </w:tr>
      <w:tr w:rsidR="00BD1278" w:rsidRPr="00503E65" w14:paraId="2F31C6E4" w14:textId="77777777" w:rsidTr="00C96D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vAlign w:val="center"/>
          </w:tcPr>
          <w:p w14:paraId="667BFA15" w14:textId="40F90E1A" w:rsidR="00BD1278" w:rsidRPr="0051538C" w:rsidRDefault="00BD1278" w:rsidP="00C96DBA">
            <w:pPr>
              <w:spacing w:before="120" w:after="120"/>
              <w:rPr>
                <w:rFonts w:asciiTheme="minorHAnsi" w:eastAsia="Times New Roman" w:hAnsiTheme="minorHAnsi" w:cstheme="minorHAnsi"/>
                <w:b w:val="0"/>
                <w:sz w:val="23"/>
                <w:szCs w:val="23"/>
              </w:rPr>
            </w:pPr>
            <w:r w:rsidRPr="0051538C">
              <w:rPr>
                <w:rFonts w:asciiTheme="minorHAnsi" w:hAnsiTheme="minorHAnsi"/>
                <w:b w:val="0"/>
                <w:sz w:val="23"/>
                <w:szCs w:val="23"/>
              </w:rPr>
              <w:t>Más de $133,000 hasta $167,000</w:t>
            </w:r>
          </w:p>
        </w:tc>
        <w:tc>
          <w:tcPr>
            <w:tcW w:w="1319" w:type="pct"/>
            <w:vAlign w:val="center"/>
          </w:tcPr>
          <w:p w14:paraId="3D35F07D" w14:textId="39FA69F2" w:rsidR="00BD1278" w:rsidRPr="0051538C" w:rsidRDefault="00BD1278" w:rsidP="00C96DBA">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Más de $266,000 hasta $334,000</w:t>
            </w:r>
          </w:p>
        </w:tc>
        <w:tc>
          <w:tcPr>
            <w:tcW w:w="1323" w:type="pct"/>
            <w:vAlign w:val="center"/>
          </w:tcPr>
          <w:p w14:paraId="5957C4B9" w14:textId="77777777" w:rsidR="00BD1278" w:rsidRPr="0051538C" w:rsidRDefault="00BD1278" w:rsidP="00C96DBA">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No corresponde</w:t>
            </w:r>
          </w:p>
        </w:tc>
        <w:tc>
          <w:tcPr>
            <w:tcW w:w="1031" w:type="pct"/>
            <w:vAlign w:val="center"/>
          </w:tcPr>
          <w:p w14:paraId="1722DAD4" w14:textId="777E8A7D" w:rsidR="00BD1278" w:rsidRPr="0051538C" w:rsidRDefault="00BD1278" w:rsidP="00C96DBA">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$35.30 + La prima de su plan</w:t>
            </w:r>
          </w:p>
        </w:tc>
      </w:tr>
      <w:tr w:rsidR="00BD1278" w:rsidRPr="00503E65" w14:paraId="16974111" w14:textId="77777777" w:rsidTr="00C96DBA">
        <w:tc>
          <w:tcPr>
            <w:cnfStyle w:val="001000000000" w:firstRow="0" w:lastRow="0" w:firstColumn="1" w:lastColumn="0" w:oddVBand="0" w:evenVBand="0" w:oddHBand="0" w:evenHBand="0" w:firstRowFirstColumn="0" w:firstRowLastColumn="0" w:lastRowFirstColumn="0" w:lastRowLastColumn="0"/>
            <w:tcW w:w="1327" w:type="pct"/>
            <w:vAlign w:val="center"/>
          </w:tcPr>
          <w:p w14:paraId="23A7E46F" w14:textId="43DEA6DE" w:rsidR="00BD1278" w:rsidRPr="0051538C" w:rsidRDefault="00BD1278" w:rsidP="00C96DBA">
            <w:pPr>
              <w:spacing w:before="120" w:after="120"/>
              <w:rPr>
                <w:rFonts w:asciiTheme="minorHAnsi" w:eastAsia="Times New Roman" w:hAnsiTheme="minorHAnsi" w:cstheme="minorHAnsi"/>
                <w:b w:val="0"/>
                <w:sz w:val="23"/>
                <w:szCs w:val="23"/>
              </w:rPr>
            </w:pPr>
            <w:r w:rsidRPr="0051538C">
              <w:rPr>
                <w:rFonts w:asciiTheme="minorHAnsi" w:hAnsiTheme="minorHAnsi"/>
                <w:b w:val="0"/>
                <w:sz w:val="23"/>
                <w:szCs w:val="23"/>
              </w:rPr>
              <w:t>Más de $167,000 hasta $200,000</w:t>
            </w:r>
          </w:p>
        </w:tc>
        <w:tc>
          <w:tcPr>
            <w:tcW w:w="1319" w:type="pct"/>
            <w:vAlign w:val="center"/>
          </w:tcPr>
          <w:p w14:paraId="7AF3345D" w14:textId="017C62C8" w:rsidR="00BD1278" w:rsidRPr="0051538C" w:rsidRDefault="00BD1278" w:rsidP="00C96DBA">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Más de $334,000 hasta $400,000</w:t>
            </w:r>
          </w:p>
        </w:tc>
        <w:tc>
          <w:tcPr>
            <w:tcW w:w="1323" w:type="pct"/>
            <w:vAlign w:val="center"/>
          </w:tcPr>
          <w:p w14:paraId="5F2CBCE8" w14:textId="77777777" w:rsidR="00BD1278" w:rsidRPr="0051538C" w:rsidRDefault="00BD1278" w:rsidP="00C96DBA">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No corresponde</w:t>
            </w:r>
          </w:p>
        </w:tc>
        <w:tc>
          <w:tcPr>
            <w:tcW w:w="1031" w:type="pct"/>
            <w:vAlign w:val="center"/>
          </w:tcPr>
          <w:p w14:paraId="52580A7D" w14:textId="730450CA" w:rsidR="00BD1278" w:rsidRPr="0051538C" w:rsidRDefault="00BD1278" w:rsidP="00C96DBA">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$57.00 + La prima de su plan</w:t>
            </w:r>
          </w:p>
        </w:tc>
      </w:tr>
      <w:tr w:rsidR="00BD1278" w:rsidRPr="00503E65" w14:paraId="2DC15800" w14:textId="77777777" w:rsidTr="00C96D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vAlign w:val="center"/>
          </w:tcPr>
          <w:p w14:paraId="43A7F2FB" w14:textId="5A5C0A6E" w:rsidR="00BD1278" w:rsidRPr="0051538C" w:rsidRDefault="00BD1278" w:rsidP="00C96DBA">
            <w:pPr>
              <w:spacing w:before="120" w:after="120"/>
              <w:rPr>
                <w:rFonts w:asciiTheme="minorHAnsi" w:eastAsia="Times New Roman" w:hAnsiTheme="minorHAnsi" w:cstheme="minorHAnsi"/>
                <w:b w:val="0"/>
                <w:sz w:val="23"/>
                <w:szCs w:val="23"/>
              </w:rPr>
            </w:pPr>
            <w:r w:rsidRPr="0051538C">
              <w:rPr>
                <w:rFonts w:asciiTheme="minorHAnsi" w:hAnsiTheme="minorHAnsi"/>
                <w:b w:val="0"/>
                <w:sz w:val="23"/>
                <w:szCs w:val="23"/>
              </w:rPr>
              <w:t>Más de $200,000 y menos de $500,000</w:t>
            </w:r>
          </w:p>
        </w:tc>
        <w:tc>
          <w:tcPr>
            <w:tcW w:w="1319" w:type="pct"/>
            <w:vAlign w:val="center"/>
          </w:tcPr>
          <w:p w14:paraId="1D215DCE" w14:textId="6CCCB022" w:rsidR="00BD1278" w:rsidRPr="0051538C" w:rsidRDefault="00BD1278" w:rsidP="00C96DBA">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Más de $400,000 y menos de $750,000</w:t>
            </w:r>
          </w:p>
        </w:tc>
        <w:tc>
          <w:tcPr>
            <w:tcW w:w="1323" w:type="pct"/>
            <w:vAlign w:val="center"/>
          </w:tcPr>
          <w:p w14:paraId="24185A6A" w14:textId="316018AD" w:rsidR="00BD1278" w:rsidRPr="0051538C" w:rsidRDefault="00BD1278" w:rsidP="00C96DBA">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Más de $106,000 y menos de $394,000</w:t>
            </w:r>
          </w:p>
        </w:tc>
        <w:tc>
          <w:tcPr>
            <w:tcW w:w="1031" w:type="pct"/>
            <w:vAlign w:val="center"/>
          </w:tcPr>
          <w:p w14:paraId="55515F49" w14:textId="5A48EDEB" w:rsidR="00BD1278" w:rsidRPr="0051538C" w:rsidRDefault="00BD1278" w:rsidP="00C96DBA">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$78.60 + La prima de su plan</w:t>
            </w:r>
          </w:p>
        </w:tc>
      </w:tr>
      <w:tr w:rsidR="00BD1278" w:rsidRPr="00503E65" w14:paraId="35A7A9C8" w14:textId="77777777" w:rsidTr="00C96DBA">
        <w:tc>
          <w:tcPr>
            <w:cnfStyle w:val="001000000000" w:firstRow="0" w:lastRow="0" w:firstColumn="1" w:lastColumn="0" w:oddVBand="0" w:evenVBand="0" w:oddHBand="0" w:evenHBand="0" w:firstRowFirstColumn="0" w:firstRowLastColumn="0" w:lastRowFirstColumn="0" w:lastRowLastColumn="0"/>
            <w:tcW w:w="1327" w:type="pct"/>
            <w:vAlign w:val="center"/>
          </w:tcPr>
          <w:p w14:paraId="6D59C1BA" w14:textId="2E224219" w:rsidR="00BD1278" w:rsidRPr="0051538C" w:rsidRDefault="00BD1278" w:rsidP="00C96DBA">
            <w:pPr>
              <w:spacing w:before="120" w:after="120"/>
              <w:rPr>
                <w:rFonts w:asciiTheme="minorHAnsi" w:eastAsia="Times New Roman" w:hAnsiTheme="minorHAnsi" w:cstheme="minorHAnsi"/>
                <w:b w:val="0"/>
                <w:sz w:val="23"/>
                <w:szCs w:val="23"/>
              </w:rPr>
            </w:pPr>
            <w:r w:rsidRPr="0051538C">
              <w:rPr>
                <w:rFonts w:asciiTheme="minorHAnsi" w:hAnsiTheme="minorHAnsi"/>
                <w:b w:val="0"/>
                <w:sz w:val="23"/>
                <w:szCs w:val="23"/>
              </w:rPr>
              <w:t>$500,000 o más</w:t>
            </w:r>
          </w:p>
        </w:tc>
        <w:tc>
          <w:tcPr>
            <w:tcW w:w="1319" w:type="pct"/>
            <w:vAlign w:val="center"/>
          </w:tcPr>
          <w:p w14:paraId="2769F296" w14:textId="796582D1" w:rsidR="00BD1278" w:rsidRPr="0051538C" w:rsidRDefault="00BD1278" w:rsidP="00C96DBA">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$750,000 o más</w:t>
            </w:r>
          </w:p>
        </w:tc>
        <w:tc>
          <w:tcPr>
            <w:tcW w:w="1323" w:type="pct"/>
            <w:vAlign w:val="center"/>
          </w:tcPr>
          <w:p w14:paraId="268C1B44" w14:textId="55761282" w:rsidR="00BD1278" w:rsidRPr="0051538C" w:rsidRDefault="00BD1278" w:rsidP="00C96DBA">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$394,000 o más</w:t>
            </w:r>
          </w:p>
        </w:tc>
        <w:tc>
          <w:tcPr>
            <w:tcW w:w="1031" w:type="pct"/>
            <w:vAlign w:val="center"/>
          </w:tcPr>
          <w:p w14:paraId="67FED113" w14:textId="0AB3AA66" w:rsidR="00BD1278" w:rsidRPr="0051538C" w:rsidRDefault="00BD1278" w:rsidP="00C96DBA">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51538C">
              <w:rPr>
                <w:rFonts w:asciiTheme="minorHAnsi" w:hAnsiTheme="minorHAnsi"/>
                <w:sz w:val="23"/>
                <w:szCs w:val="23"/>
              </w:rPr>
              <w:t>$85.80 + La prima de su plan</w:t>
            </w:r>
          </w:p>
        </w:tc>
      </w:tr>
      <w:bookmarkEnd w:id="0"/>
      <w:bookmarkEnd w:id="1"/>
    </w:tbl>
    <w:p w14:paraId="6C444C64" w14:textId="6A2E6566" w:rsidR="00202900" w:rsidRDefault="00202900" w:rsidP="00143C3F">
      <w:pPr>
        <w:pStyle w:val="ListParagraph"/>
        <w:tabs>
          <w:tab w:val="left" w:pos="100"/>
          <w:tab w:val="left" w:pos="1080"/>
        </w:tabs>
        <w:spacing w:before="120"/>
        <w:ind w:left="1890" w:firstLine="0"/>
        <w:rPr>
          <w:sz w:val="24"/>
        </w:rPr>
      </w:pPr>
    </w:p>
    <w:sectPr w:rsidR="00202900" w:rsidSect="00C23289">
      <w:headerReference w:type="default" r:id="rId13"/>
      <w:headerReference w:type="first" r:id="rId14"/>
      <w:footerReference w:type="first" r:id="rId15"/>
      <w:pgSz w:w="15840" w:h="12240" w:orient="landscape"/>
      <w:pgMar w:top="720" w:right="720" w:bottom="720" w:left="720" w:header="288" w:footer="5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30E586" w14:textId="77777777" w:rsidR="00761F5A" w:rsidRDefault="00761F5A" w:rsidP="003E1CBB">
      <w:r>
        <w:separator/>
      </w:r>
    </w:p>
  </w:endnote>
  <w:endnote w:type="continuationSeparator" w:id="0">
    <w:p w14:paraId="21007B1E" w14:textId="77777777" w:rsidR="00761F5A" w:rsidRDefault="00761F5A" w:rsidP="003E1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91051" w14:textId="42AF0ECE" w:rsidR="001F174D" w:rsidRPr="00C21983" w:rsidRDefault="00C21983" w:rsidP="00C21983">
    <w:pPr>
      <w:pStyle w:val="Footer"/>
      <w:jc w:val="right"/>
    </w:pPr>
    <w:r>
      <w:t>Revisado en noviembre de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DF0600" w14:textId="77777777" w:rsidR="00761F5A" w:rsidRDefault="00761F5A" w:rsidP="003E1CBB">
      <w:r>
        <w:separator/>
      </w:r>
    </w:p>
  </w:footnote>
  <w:footnote w:type="continuationSeparator" w:id="0">
    <w:p w14:paraId="2FBBC29A" w14:textId="77777777" w:rsidR="00761F5A" w:rsidRDefault="00761F5A" w:rsidP="003E1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6D12F" w14:textId="29D3EEB8" w:rsidR="0080693A" w:rsidRDefault="0080693A">
    <w:pPr>
      <w:pStyle w:val="Header"/>
    </w:pPr>
  </w:p>
  <w:p w14:paraId="4AD3CFF7" w14:textId="4D531A7B" w:rsidR="0080693A" w:rsidRDefault="008069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F92A5" w14:textId="32E99F48" w:rsidR="00000448" w:rsidRDefault="00000448">
    <w:pPr>
      <w:pStyle w:val="Header"/>
    </w:pPr>
    <w:r>
      <w:rPr>
        <w:noProof/>
      </w:rPr>
      <w:drawing>
        <wp:anchor distT="0" distB="0" distL="114300" distR="114300" simplePos="0" relativeHeight="251659264" behindDoc="0" locked="0" layoutInCell="1" allowOverlap="1" wp14:anchorId="479050BE" wp14:editId="61087ADE">
          <wp:simplePos x="0" y="0"/>
          <wp:positionH relativeFrom="page">
            <wp:align>left</wp:align>
          </wp:positionH>
          <wp:positionV relativeFrom="paragraph">
            <wp:posOffset>-180975</wp:posOffset>
          </wp:positionV>
          <wp:extent cx="10029825" cy="2917170"/>
          <wp:effectExtent l="0" t="0" r="0" b="0"/>
          <wp:wrapNone/>
          <wp:docPr id="1712381449" name="Picture 17123814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069603" cy="292873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3CC5CC1"/>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03CD45D">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3121BA6"/>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4BFE5030">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40271"/>
    <w:multiLevelType w:val="hybridMultilevel"/>
    <w:tmpl w:val="A1DAB85C"/>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603A55"/>
    <w:multiLevelType w:val="hybridMultilevel"/>
    <w:tmpl w:val="311E9928"/>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A2C79"/>
    <w:multiLevelType w:val="hybridMultilevel"/>
    <w:tmpl w:val="B2366EB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060C3433"/>
    <w:multiLevelType w:val="hybridMultilevel"/>
    <w:tmpl w:val="92E4AD36"/>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542B2"/>
    <w:multiLevelType w:val="hybridMultilevel"/>
    <w:tmpl w:val="D01C49A2"/>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4F31AF"/>
    <w:multiLevelType w:val="hybridMultilevel"/>
    <w:tmpl w:val="7780EFD2"/>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D35118"/>
    <w:multiLevelType w:val="hybridMultilevel"/>
    <w:tmpl w:val="A6662D96"/>
    <w:lvl w:ilvl="0" w:tplc="372AC942">
      <w:start w:val="1"/>
      <w:numFmt w:val="decimal"/>
      <w:lvlText w:val="%1."/>
      <w:lvlJc w:val="left"/>
      <w:pPr>
        <w:ind w:left="460" w:hanging="360"/>
      </w:pPr>
      <w:rPr>
        <w:rFonts w:ascii="Calibri" w:eastAsia="Calibri" w:hAnsi="Calibri" w:cs="Calibri" w:hint="default"/>
        <w:spacing w:val="-4"/>
        <w:w w:val="100"/>
        <w:sz w:val="24"/>
        <w:szCs w:val="24"/>
        <w:lang w:val="en-US" w:eastAsia="en-US" w:bidi="en-US"/>
      </w:rPr>
    </w:lvl>
    <w:lvl w:ilvl="1" w:tplc="9DD44A48">
      <w:numFmt w:val="bullet"/>
      <w:lvlText w:val="•"/>
      <w:lvlJc w:val="left"/>
      <w:pPr>
        <w:ind w:left="1564" w:hanging="360"/>
      </w:pPr>
      <w:rPr>
        <w:rFonts w:hint="default"/>
        <w:lang w:val="en-US" w:eastAsia="en-US" w:bidi="en-US"/>
      </w:rPr>
    </w:lvl>
    <w:lvl w:ilvl="2" w:tplc="1AC0BEA2">
      <w:numFmt w:val="bullet"/>
      <w:lvlText w:val="•"/>
      <w:lvlJc w:val="left"/>
      <w:pPr>
        <w:ind w:left="2668" w:hanging="360"/>
      </w:pPr>
      <w:rPr>
        <w:rFonts w:hint="default"/>
        <w:lang w:val="en-US" w:eastAsia="en-US" w:bidi="en-US"/>
      </w:rPr>
    </w:lvl>
    <w:lvl w:ilvl="3" w:tplc="D922971A">
      <w:numFmt w:val="bullet"/>
      <w:lvlText w:val="•"/>
      <w:lvlJc w:val="left"/>
      <w:pPr>
        <w:ind w:left="3772" w:hanging="360"/>
      </w:pPr>
      <w:rPr>
        <w:rFonts w:hint="default"/>
        <w:lang w:val="en-US" w:eastAsia="en-US" w:bidi="en-US"/>
      </w:rPr>
    </w:lvl>
    <w:lvl w:ilvl="4" w:tplc="5ACE0622">
      <w:numFmt w:val="bullet"/>
      <w:lvlText w:val="•"/>
      <w:lvlJc w:val="left"/>
      <w:pPr>
        <w:ind w:left="4876" w:hanging="360"/>
      </w:pPr>
      <w:rPr>
        <w:rFonts w:hint="default"/>
        <w:lang w:val="en-US" w:eastAsia="en-US" w:bidi="en-US"/>
      </w:rPr>
    </w:lvl>
    <w:lvl w:ilvl="5" w:tplc="C8A62D76">
      <w:numFmt w:val="bullet"/>
      <w:lvlText w:val="•"/>
      <w:lvlJc w:val="left"/>
      <w:pPr>
        <w:ind w:left="5980" w:hanging="360"/>
      </w:pPr>
      <w:rPr>
        <w:rFonts w:hint="default"/>
        <w:lang w:val="en-US" w:eastAsia="en-US" w:bidi="en-US"/>
      </w:rPr>
    </w:lvl>
    <w:lvl w:ilvl="6" w:tplc="7624DC30">
      <w:numFmt w:val="bullet"/>
      <w:lvlText w:val="•"/>
      <w:lvlJc w:val="left"/>
      <w:pPr>
        <w:ind w:left="7084" w:hanging="360"/>
      </w:pPr>
      <w:rPr>
        <w:rFonts w:hint="default"/>
        <w:lang w:val="en-US" w:eastAsia="en-US" w:bidi="en-US"/>
      </w:rPr>
    </w:lvl>
    <w:lvl w:ilvl="7" w:tplc="A8401BD2">
      <w:numFmt w:val="bullet"/>
      <w:lvlText w:val="•"/>
      <w:lvlJc w:val="left"/>
      <w:pPr>
        <w:ind w:left="8188" w:hanging="360"/>
      </w:pPr>
      <w:rPr>
        <w:rFonts w:hint="default"/>
        <w:lang w:val="en-US" w:eastAsia="en-US" w:bidi="en-US"/>
      </w:rPr>
    </w:lvl>
    <w:lvl w:ilvl="8" w:tplc="9ECA2548">
      <w:numFmt w:val="bullet"/>
      <w:lvlText w:val="•"/>
      <w:lvlJc w:val="left"/>
      <w:pPr>
        <w:ind w:left="9292" w:hanging="360"/>
      </w:pPr>
      <w:rPr>
        <w:rFonts w:hint="default"/>
        <w:lang w:val="en-US" w:eastAsia="en-US" w:bidi="en-US"/>
      </w:rPr>
    </w:lvl>
  </w:abstractNum>
  <w:abstractNum w:abstractNumId="9" w15:restartNumberingAfterBreak="0">
    <w:nsid w:val="16D05F8F"/>
    <w:multiLevelType w:val="hybridMultilevel"/>
    <w:tmpl w:val="714C07C8"/>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E42CF1"/>
    <w:multiLevelType w:val="hybridMultilevel"/>
    <w:tmpl w:val="87263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892594E"/>
    <w:multiLevelType w:val="hybridMultilevel"/>
    <w:tmpl w:val="B4828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C45314"/>
    <w:multiLevelType w:val="hybridMultilevel"/>
    <w:tmpl w:val="D2A6E138"/>
    <w:lvl w:ilvl="0" w:tplc="955A21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46418F"/>
    <w:multiLevelType w:val="hybridMultilevel"/>
    <w:tmpl w:val="1932EF2E"/>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9B0275"/>
    <w:multiLevelType w:val="hybridMultilevel"/>
    <w:tmpl w:val="F1AA8E1A"/>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D01769"/>
    <w:multiLevelType w:val="hybridMultilevel"/>
    <w:tmpl w:val="B928C6EA"/>
    <w:lvl w:ilvl="0" w:tplc="87E60D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AF56F7"/>
    <w:multiLevelType w:val="hybridMultilevel"/>
    <w:tmpl w:val="FF8E86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F9236EB"/>
    <w:multiLevelType w:val="hybridMultilevel"/>
    <w:tmpl w:val="07D601D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304E555F"/>
    <w:multiLevelType w:val="hybridMultilevel"/>
    <w:tmpl w:val="E6362A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6E06867"/>
    <w:multiLevelType w:val="hybridMultilevel"/>
    <w:tmpl w:val="1E367E4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9A81452"/>
    <w:multiLevelType w:val="hybridMultilevel"/>
    <w:tmpl w:val="66E027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A86791D"/>
    <w:multiLevelType w:val="hybridMultilevel"/>
    <w:tmpl w:val="2FD20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202138F"/>
    <w:multiLevelType w:val="hybridMultilevel"/>
    <w:tmpl w:val="C7BCEC6C"/>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 w15:restartNumberingAfterBreak="0">
    <w:nsid w:val="44704ED3"/>
    <w:multiLevelType w:val="hybridMultilevel"/>
    <w:tmpl w:val="8200A2A6"/>
    <w:lvl w:ilvl="0" w:tplc="535A35A6">
      <w:start w:val="1"/>
      <w:numFmt w:val="bullet"/>
      <w:lvlText w:val=""/>
      <w:lvlJc w:val="left"/>
      <w:pPr>
        <w:ind w:left="720" w:hanging="360"/>
      </w:pPr>
      <w:rPr>
        <w:rFonts w:ascii="Symbol" w:hAnsi="Symbol"/>
      </w:rPr>
    </w:lvl>
    <w:lvl w:ilvl="1" w:tplc="793A2EA6">
      <w:start w:val="1"/>
      <w:numFmt w:val="bullet"/>
      <w:lvlText w:val=""/>
      <w:lvlJc w:val="left"/>
      <w:pPr>
        <w:ind w:left="720" w:hanging="360"/>
      </w:pPr>
      <w:rPr>
        <w:rFonts w:ascii="Symbol" w:hAnsi="Symbol"/>
      </w:rPr>
    </w:lvl>
    <w:lvl w:ilvl="2" w:tplc="E35257EA">
      <w:start w:val="1"/>
      <w:numFmt w:val="bullet"/>
      <w:lvlText w:val=""/>
      <w:lvlJc w:val="left"/>
      <w:pPr>
        <w:ind w:left="720" w:hanging="360"/>
      </w:pPr>
      <w:rPr>
        <w:rFonts w:ascii="Symbol" w:hAnsi="Symbol"/>
      </w:rPr>
    </w:lvl>
    <w:lvl w:ilvl="3" w:tplc="3F0296BA">
      <w:start w:val="1"/>
      <w:numFmt w:val="bullet"/>
      <w:lvlText w:val=""/>
      <w:lvlJc w:val="left"/>
      <w:pPr>
        <w:ind w:left="720" w:hanging="360"/>
      </w:pPr>
      <w:rPr>
        <w:rFonts w:ascii="Symbol" w:hAnsi="Symbol"/>
      </w:rPr>
    </w:lvl>
    <w:lvl w:ilvl="4" w:tplc="031A571A">
      <w:start w:val="1"/>
      <w:numFmt w:val="bullet"/>
      <w:lvlText w:val=""/>
      <w:lvlJc w:val="left"/>
      <w:pPr>
        <w:ind w:left="720" w:hanging="360"/>
      </w:pPr>
      <w:rPr>
        <w:rFonts w:ascii="Symbol" w:hAnsi="Symbol"/>
      </w:rPr>
    </w:lvl>
    <w:lvl w:ilvl="5" w:tplc="D6B68D3C">
      <w:start w:val="1"/>
      <w:numFmt w:val="bullet"/>
      <w:lvlText w:val=""/>
      <w:lvlJc w:val="left"/>
      <w:pPr>
        <w:ind w:left="720" w:hanging="360"/>
      </w:pPr>
      <w:rPr>
        <w:rFonts w:ascii="Symbol" w:hAnsi="Symbol"/>
      </w:rPr>
    </w:lvl>
    <w:lvl w:ilvl="6" w:tplc="C2A01924">
      <w:start w:val="1"/>
      <w:numFmt w:val="bullet"/>
      <w:lvlText w:val=""/>
      <w:lvlJc w:val="left"/>
      <w:pPr>
        <w:ind w:left="720" w:hanging="360"/>
      </w:pPr>
      <w:rPr>
        <w:rFonts w:ascii="Symbol" w:hAnsi="Symbol"/>
      </w:rPr>
    </w:lvl>
    <w:lvl w:ilvl="7" w:tplc="C4FA45C2">
      <w:start w:val="1"/>
      <w:numFmt w:val="bullet"/>
      <w:lvlText w:val=""/>
      <w:lvlJc w:val="left"/>
      <w:pPr>
        <w:ind w:left="720" w:hanging="360"/>
      </w:pPr>
      <w:rPr>
        <w:rFonts w:ascii="Symbol" w:hAnsi="Symbol"/>
      </w:rPr>
    </w:lvl>
    <w:lvl w:ilvl="8" w:tplc="A5E6062E">
      <w:start w:val="1"/>
      <w:numFmt w:val="bullet"/>
      <w:lvlText w:val=""/>
      <w:lvlJc w:val="left"/>
      <w:pPr>
        <w:ind w:left="720" w:hanging="360"/>
      </w:pPr>
      <w:rPr>
        <w:rFonts w:ascii="Symbol" w:hAnsi="Symbol"/>
      </w:rPr>
    </w:lvl>
  </w:abstractNum>
  <w:abstractNum w:abstractNumId="24" w15:restartNumberingAfterBreak="0">
    <w:nsid w:val="47AF46EC"/>
    <w:multiLevelType w:val="hybridMultilevel"/>
    <w:tmpl w:val="0A78D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AC02EC"/>
    <w:multiLevelType w:val="hybridMultilevel"/>
    <w:tmpl w:val="3D0EABE0"/>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6" w15:restartNumberingAfterBreak="0">
    <w:nsid w:val="4EA00D52"/>
    <w:multiLevelType w:val="hybridMultilevel"/>
    <w:tmpl w:val="BC768C68"/>
    <w:lvl w:ilvl="0" w:tplc="FFFFFFFF">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1C57C6"/>
    <w:multiLevelType w:val="hybridMultilevel"/>
    <w:tmpl w:val="2DEC3EB0"/>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AE7797"/>
    <w:multiLevelType w:val="hybridMultilevel"/>
    <w:tmpl w:val="58B6C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CC540B5"/>
    <w:multiLevelType w:val="hybridMultilevel"/>
    <w:tmpl w:val="FAC4CE22"/>
    <w:lvl w:ilvl="0" w:tplc="A4E0A258">
      <w:start w:val="1"/>
      <w:numFmt w:val="decimal"/>
      <w:lvlText w:val="(%1)"/>
      <w:lvlJc w:val="left"/>
      <w:pPr>
        <w:tabs>
          <w:tab w:val="num" w:pos="720"/>
        </w:tabs>
        <w:ind w:left="720" w:hanging="360"/>
      </w:pPr>
      <w:rPr>
        <w:rFonts w:ascii="Calibri" w:eastAsia="Calibri" w:hAnsi="Calibri" w:cs="Calibri"/>
      </w:rPr>
    </w:lvl>
    <w:lvl w:ilvl="1" w:tplc="118A398E" w:tentative="1">
      <w:start w:val="1"/>
      <w:numFmt w:val="bullet"/>
      <w:lvlText w:val=""/>
      <w:lvlJc w:val="left"/>
      <w:pPr>
        <w:tabs>
          <w:tab w:val="num" w:pos="1440"/>
        </w:tabs>
        <w:ind w:left="1440" w:hanging="360"/>
      </w:pPr>
      <w:rPr>
        <w:rFonts w:ascii="Wingdings" w:hAnsi="Wingdings" w:hint="default"/>
      </w:rPr>
    </w:lvl>
    <w:lvl w:ilvl="2" w:tplc="8A66165E" w:tentative="1">
      <w:start w:val="1"/>
      <w:numFmt w:val="bullet"/>
      <w:lvlText w:val=""/>
      <w:lvlJc w:val="left"/>
      <w:pPr>
        <w:tabs>
          <w:tab w:val="num" w:pos="2160"/>
        </w:tabs>
        <w:ind w:left="2160" w:hanging="360"/>
      </w:pPr>
      <w:rPr>
        <w:rFonts w:ascii="Wingdings" w:hAnsi="Wingdings" w:hint="default"/>
      </w:rPr>
    </w:lvl>
    <w:lvl w:ilvl="3" w:tplc="7868AE0C" w:tentative="1">
      <w:start w:val="1"/>
      <w:numFmt w:val="bullet"/>
      <w:lvlText w:val=""/>
      <w:lvlJc w:val="left"/>
      <w:pPr>
        <w:tabs>
          <w:tab w:val="num" w:pos="2880"/>
        </w:tabs>
        <w:ind w:left="2880" w:hanging="360"/>
      </w:pPr>
      <w:rPr>
        <w:rFonts w:ascii="Wingdings" w:hAnsi="Wingdings" w:hint="default"/>
      </w:rPr>
    </w:lvl>
    <w:lvl w:ilvl="4" w:tplc="7CAA2B7A" w:tentative="1">
      <w:start w:val="1"/>
      <w:numFmt w:val="bullet"/>
      <w:lvlText w:val=""/>
      <w:lvlJc w:val="left"/>
      <w:pPr>
        <w:tabs>
          <w:tab w:val="num" w:pos="3600"/>
        </w:tabs>
        <w:ind w:left="3600" w:hanging="360"/>
      </w:pPr>
      <w:rPr>
        <w:rFonts w:ascii="Wingdings" w:hAnsi="Wingdings" w:hint="default"/>
      </w:rPr>
    </w:lvl>
    <w:lvl w:ilvl="5" w:tplc="6D0A7724" w:tentative="1">
      <w:start w:val="1"/>
      <w:numFmt w:val="bullet"/>
      <w:lvlText w:val=""/>
      <w:lvlJc w:val="left"/>
      <w:pPr>
        <w:tabs>
          <w:tab w:val="num" w:pos="4320"/>
        </w:tabs>
        <w:ind w:left="4320" w:hanging="360"/>
      </w:pPr>
      <w:rPr>
        <w:rFonts w:ascii="Wingdings" w:hAnsi="Wingdings" w:hint="default"/>
      </w:rPr>
    </w:lvl>
    <w:lvl w:ilvl="6" w:tplc="0CB254EA" w:tentative="1">
      <w:start w:val="1"/>
      <w:numFmt w:val="bullet"/>
      <w:lvlText w:val=""/>
      <w:lvlJc w:val="left"/>
      <w:pPr>
        <w:tabs>
          <w:tab w:val="num" w:pos="5040"/>
        </w:tabs>
        <w:ind w:left="5040" w:hanging="360"/>
      </w:pPr>
      <w:rPr>
        <w:rFonts w:ascii="Wingdings" w:hAnsi="Wingdings" w:hint="default"/>
      </w:rPr>
    </w:lvl>
    <w:lvl w:ilvl="7" w:tplc="F106FAD6" w:tentative="1">
      <w:start w:val="1"/>
      <w:numFmt w:val="bullet"/>
      <w:lvlText w:val=""/>
      <w:lvlJc w:val="left"/>
      <w:pPr>
        <w:tabs>
          <w:tab w:val="num" w:pos="5760"/>
        </w:tabs>
        <w:ind w:left="5760" w:hanging="360"/>
      </w:pPr>
      <w:rPr>
        <w:rFonts w:ascii="Wingdings" w:hAnsi="Wingdings" w:hint="default"/>
      </w:rPr>
    </w:lvl>
    <w:lvl w:ilvl="8" w:tplc="9842B9F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F54871"/>
    <w:multiLevelType w:val="hybridMultilevel"/>
    <w:tmpl w:val="A0D6A4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4276DF0"/>
    <w:multiLevelType w:val="hybridMultilevel"/>
    <w:tmpl w:val="9A9A9D1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A2A0C82"/>
    <w:multiLevelType w:val="hybridMultilevel"/>
    <w:tmpl w:val="1E8AFAEE"/>
    <w:lvl w:ilvl="0" w:tplc="204697E2">
      <w:start w:val="1"/>
      <w:numFmt w:val="bullet"/>
      <w:lvlText w:val=""/>
      <w:lvlJc w:val="left"/>
      <w:pPr>
        <w:tabs>
          <w:tab w:val="num" w:pos="720"/>
        </w:tabs>
        <w:ind w:left="720" w:hanging="360"/>
      </w:pPr>
      <w:rPr>
        <w:rFonts w:ascii="Wingdings" w:hAnsi="Wingdings" w:hint="default"/>
      </w:rPr>
    </w:lvl>
    <w:lvl w:ilvl="1" w:tplc="36084358">
      <w:numFmt w:val="bullet"/>
      <w:lvlText w:val="•"/>
      <w:lvlJc w:val="left"/>
      <w:pPr>
        <w:tabs>
          <w:tab w:val="num" w:pos="1440"/>
        </w:tabs>
        <w:ind w:left="1440" w:hanging="360"/>
      </w:pPr>
      <w:rPr>
        <w:rFonts w:ascii="Arial" w:hAnsi="Arial" w:hint="default"/>
      </w:rPr>
    </w:lvl>
    <w:lvl w:ilvl="2" w:tplc="E3F6E0DA" w:tentative="1">
      <w:start w:val="1"/>
      <w:numFmt w:val="bullet"/>
      <w:lvlText w:val=""/>
      <w:lvlJc w:val="left"/>
      <w:pPr>
        <w:tabs>
          <w:tab w:val="num" w:pos="2160"/>
        </w:tabs>
        <w:ind w:left="2160" w:hanging="360"/>
      </w:pPr>
      <w:rPr>
        <w:rFonts w:ascii="Wingdings" w:hAnsi="Wingdings" w:hint="default"/>
      </w:rPr>
    </w:lvl>
    <w:lvl w:ilvl="3" w:tplc="B76C5D0A" w:tentative="1">
      <w:start w:val="1"/>
      <w:numFmt w:val="bullet"/>
      <w:lvlText w:val=""/>
      <w:lvlJc w:val="left"/>
      <w:pPr>
        <w:tabs>
          <w:tab w:val="num" w:pos="2880"/>
        </w:tabs>
        <w:ind w:left="2880" w:hanging="360"/>
      </w:pPr>
      <w:rPr>
        <w:rFonts w:ascii="Wingdings" w:hAnsi="Wingdings" w:hint="default"/>
      </w:rPr>
    </w:lvl>
    <w:lvl w:ilvl="4" w:tplc="DF4AA4A4" w:tentative="1">
      <w:start w:val="1"/>
      <w:numFmt w:val="bullet"/>
      <w:lvlText w:val=""/>
      <w:lvlJc w:val="left"/>
      <w:pPr>
        <w:tabs>
          <w:tab w:val="num" w:pos="3600"/>
        </w:tabs>
        <w:ind w:left="3600" w:hanging="360"/>
      </w:pPr>
      <w:rPr>
        <w:rFonts w:ascii="Wingdings" w:hAnsi="Wingdings" w:hint="default"/>
      </w:rPr>
    </w:lvl>
    <w:lvl w:ilvl="5" w:tplc="97C616DE" w:tentative="1">
      <w:start w:val="1"/>
      <w:numFmt w:val="bullet"/>
      <w:lvlText w:val=""/>
      <w:lvlJc w:val="left"/>
      <w:pPr>
        <w:tabs>
          <w:tab w:val="num" w:pos="4320"/>
        </w:tabs>
        <w:ind w:left="4320" w:hanging="360"/>
      </w:pPr>
      <w:rPr>
        <w:rFonts w:ascii="Wingdings" w:hAnsi="Wingdings" w:hint="default"/>
      </w:rPr>
    </w:lvl>
    <w:lvl w:ilvl="6" w:tplc="92E49F10" w:tentative="1">
      <w:start w:val="1"/>
      <w:numFmt w:val="bullet"/>
      <w:lvlText w:val=""/>
      <w:lvlJc w:val="left"/>
      <w:pPr>
        <w:tabs>
          <w:tab w:val="num" w:pos="5040"/>
        </w:tabs>
        <w:ind w:left="5040" w:hanging="360"/>
      </w:pPr>
      <w:rPr>
        <w:rFonts w:ascii="Wingdings" w:hAnsi="Wingdings" w:hint="default"/>
      </w:rPr>
    </w:lvl>
    <w:lvl w:ilvl="7" w:tplc="BF8C06D2" w:tentative="1">
      <w:start w:val="1"/>
      <w:numFmt w:val="bullet"/>
      <w:lvlText w:val=""/>
      <w:lvlJc w:val="left"/>
      <w:pPr>
        <w:tabs>
          <w:tab w:val="num" w:pos="5760"/>
        </w:tabs>
        <w:ind w:left="5760" w:hanging="360"/>
      </w:pPr>
      <w:rPr>
        <w:rFonts w:ascii="Wingdings" w:hAnsi="Wingdings" w:hint="default"/>
      </w:rPr>
    </w:lvl>
    <w:lvl w:ilvl="8" w:tplc="24BA655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616347"/>
    <w:multiLevelType w:val="hybridMultilevel"/>
    <w:tmpl w:val="F962C69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E005568"/>
    <w:multiLevelType w:val="hybridMultilevel"/>
    <w:tmpl w:val="5FA4B2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52554F7"/>
    <w:multiLevelType w:val="hybridMultilevel"/>
    <w:tmpl w:val="BC70C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58826EF"/>
    <w:multiLevelType w:val="hybridMultilevel"/>
    <w:tmpl w:val="BBCAA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6AF577D"/>
    <w:multiLevelType w:val="hybridMultilevel"/>
    <w:tmpl w:val="2C6C9A4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A835261"/>
    <w:multiLevelType w:val="hybridMultilevel"/>
    <w:tmpl w:val="20141756"/>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8316940">
    <w:abstractNumId w:val="8"/>
  </w:num>
  <w:num w:numId="2" w16cid:durableId="1291135265">
    <w:abstractNumId w:val="28"/>
  </w:num>
  <w:num w:numId="3" w16cid:durableId="2101220390">
    <w:abstractNumId w:val="28"/>
  </w:num>
  <w:num w:numId="4" w16cid:durableId="404844495">
    <w:abstractNumId w:val="16"/>
  </w:num>
  <w:num w:numId="5" w16cid:durableId="321398273">
    <w:abstractNumId w:val="10"/>
  </w:num>
  <w:num w:numId="6" w16cid:durableId="468976938">
    <w:abstractNumId w:val="11"/>
  </w:num>
  <w:num w:numId="7" w16cid:durableId="1517203">
    <w:abstractNumId w:val="24"/>
  </w:num>
  <w:num w:numId="8" w16cid:durableId="319046938">
    <w:abstractNumId w:val="36"/>
  </w:num>
  <w:num w:numId="9" w16cid:durableId="134951979">
    <w:abstractNumId w:val="20"/>
  </w:num>
  <w:num w:numId="10" w16cid:durableId="1285497825">
    <w:abstractNumId w:val="35"/>
  </w:num>
  <w:num w:numId="11" w16cid:durableId="247617594">
    <w:abstractNumId w:val="30"/>
  </w:num>
  <w:num w:numId="12" w16cid:durableId="180780386">
    <w:abstractNumId w:val="31"/>
  </w:num>
  <w:num w:numId="13" w16cid:durableId="366954543">
    <w:abstractNumId w:val="37"/>
  </w:num>
  <w:num w:numId="14" w16cid:durableId="1478035027">
    <w:abstractNumId w:val="17"/>
  </w:num>
  <w:num w:numId="15" w16cid:durableId="495071431">
    <w:abstractNumId w:val="4"/>
  </w:num>
  <w:num w:numId="16" w16cid:durableId="486560143">
    <w:abstractNumId w:val="18"/>
  </w:num>
  <w:num w:numId="17" w16cid:durableId="1837961129">
    <w:abstractNumId w:val="15"/>
  </w:num>
  <w:num w:numId="18" w16cid:durableId="1997414913">
    <w:abstractNumId w:val="1"/>
  </w:num>
  <w:num w:numId="19" w16cid:durableId="874853124">
    <w:abstractNumId w:val="0"/>
  </w:num>
  <w:num w:numId="20" w16cid:durableId="1048260533">
    <w:abstractNumId w:val="29"/>
  </w:num>
  <w:num w:numId="21" w16cid:durableId="2042317138">
    <w:abstractNumId w:val="32"/>
  </w:num>
  <w:num w:numId="22" w16cid:durableId="1649432755">
    <w:abstractNumId w:val="26"/>
  </w:num>
  <w:num w:numId="23" w16cid:durableId="318510032">
    <w:abstractNumId w:val="21"/>
  </w:num>
  <w:num w:numId="24" w16cid:durableId="819343323">
    <w:abstractNumId w:val="23"/>
  </w:num>
  <w:num w:numId="25" w16cid:durableId="1811827529">
    <w:abstractNumId w:val="22"/>
  </w:num>
  <w:num w:numId="26" w16cid:durableId="1234313753">
    <w:abstractNumId w:val="19"/>
  </w:num>
  <w:num w:numId="27" w16cid:durableId="1916233729">
    <w:abstractNumId w:val="33"/>
  </w:num>
  <w:num w:numId="28" w16cid:durableId="1898085284">
    <w:abstractNumId w:val="12"/>
  </w:num>
  <w:num w:numId="29" w16cid:durableId="491868611">
    <w:abstractNumId w:val="3"/>
  </w:num>
  <w:num w:numId="30" w16cid:durableId="1739130713">
    <w:abstractNumId w:val="2"/>
  </w:num>
  <w:num w:numId="31" w16cid:durableId="523136311">
    <w:abstractNumId w:val="27"/>
  </w:num>
  <w:num w:numId="32" w16cid:durableId="1033773444">
    <w:abstractNumId w:val="9"/>
  </w:num>
  <w:num w:numId="33" w16cid:durableId="9647424">
    <w:abstractNumId w:val="5"/>
  </w:num>
  <w:num w:numId="34" w16cid:durableId="483590313">
    <w:abstractNumId w:val="38"/>
  </w:num>
  <w:num w:numId="35" w16cid:durableId="934048793">
    <w:abstractNumId w:val="6"/>
  </w:num>
  <w:num w:numId="36" w16cid:durableId="46152904">
    <w:abstractNumId w:val="14"/>
  </w:num>
  <w:num w:numId="37" w16cid:durableId="1761639943">
    <w:abstractNumId w:val="7"/>
  </w:num>
  <w:num w:numId="38" w16cid:durableId="1885289493">
    <w:abstractNumId w:val="13"/>
  </w:num>
  <w:num w:numId="39" w16cid:durableId="1400052344">
    <w:abstractNumId w:val="34"/>
  </w:num>
  <w:num w:numId="40" w16cid:durableId="10481414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7ED"/>
    <w:rsid w:val="00000448"/>
    <w:rsid w:val="000071ED"/>
    <w:rsid w:val="000330A9"/>
    <w:rsid w:val="0003396A"/>
    <w:rsid w:val="00045EBB"/>
    <w:rsid w:val="00046B11"/>
    <w:rsid w:val="00055BF4"/>
    <w:rsid w:val="00070401"/>
    <w:rsid w:val="00093298"/>
    <w:rsid w:val="0009605D"/>
    <w:rsid w:val="000B4214"/>
    <w:rsid w:val="000C7DC0"/>
    <w:rsid w:val="000D79BD"/>
    <w:rsid w:val="000E3983"/>
    <w:rsid w:val="000E4F92"/>
    <w:rsid w:val="00102B79"/>
    <w:rsid w:val="00104455"/>
    <w:rsid w:val="001103CA"/>
    <w:rsid w:val="001146DB"/>
    <w:rsid w:val="001250D4"/>
    <w:rsid w:val="00126745"/>
    <w:rsid w:val="00143C3F"/>
    <w:rsid w:val="001610C1"/>
    <w:rsid w:val="00193676"/>
    <w:rsid w:val="00197BEA"/>
    <w:rsid w:val="001C0C48"/>
    <w:rsid w:val="001C3853"/>
    <w:rsid w:val="001C66D0"/>
    <w:rsid w:val="001F174D"/>
    <w:rsid w:val="001F6F56"/>
    <w:rsid w:val="00202900"/>
    <w:rsid w:val="0021131F"/>
    <w:rsid w:val="002151A7"/>
    <w:rsid w:val="00215978"/>
    <w:rsid w:val="00221FC0"/>
    <w:rsid w:val="00243542"/>
    <w:rsid w:val="00243678"/>
    <w:rsid w:val="00251D76"/>
    <w:rsid w:val="00261C60"/>
    <w:rsid w:val="00265B64"/>
    <w:rsid w:val="00266171"/>
    <w:rsid w:val="0028495D"/>
    <w:rsid w:val="002A5850"/>
    <w:rsid w:val="002B07A7"/>
    <w:rsid w:val="002C32C0"/>
    <w:rsid w:val="002D6CD4"/>
    <w:rsid w:val="002E0788"/>
    <w:rsid w:val="002E7694"/>
    <w:rsid w:val="002F7614"/>
    <w:rsid w:val="0031333E"/>
    <w:rsid w:val="00317A6C"/>
    <w:rsid w:val="00330DC3"/>
    <w:rsid w:val="00333DC1"/>
    <w:rsid w:val="00343041"/>
    <w:rsid w:val="003473C7"/>
    <w:rsid w:val="003477A6"/>
    <w:rsid w:val="00352638"/>
    <w:rsid w:val="00375F43"/>
    <w:rsid w:val="0038608B"/>
    <w:rsid w:val="003961C6"/>
    <w:rsid w:val="00397CDF"/>
    <w:rsid w:val="003A700D"/>
    <w:rsid w:val="003E0B3D"/>
    <w:rsid w:val="003E1212"/>
    <w:rsid w:val="003E1CBB"/>
    <w:rsid w:val="003E2CAC"/>
    <w:rsid w:val="003F2930"/>
    <w:rsid w:val="003F531C"/>
    <w:rsid w:val="00407662"/>
    <w:rsid w:val="004266E0"/>
    <w:rsid w:val="00426B99"/>
    <w:rsid w:val="0043662B"/>
    <w:rsid w:val="00441FB9"/>
    <w:rsid w:val="00486BC4"/>
    <w:rsid w:val="0049285A"/>
    <w:rsid w:val="004A159B"/>
    <w:rsid w:val="004A5AB7"/>
    <w:rsid w:val="004B1D44"/>
    <w:rsid w:val="005037A2"/>
    <w:rsid w:val="00503A3E"/>
    <w:rsid w:val="00503E65"/>
    <w:rsid w:val="00504E96"/>
    <w:rsid w:val="00507E75"/>
    <w:rsid w:val="00512B3D"/>
    <w:rsid w:val="0051538C"/>
    <w:rsid w:val="005309F2"/>
    <w:rsid w:val="00532AEE"/>
    <w:rsid w:val="00544708"/>
    <w:rsid w:val="00547036"/>
    <w:rsid w:val="005508A0"/>
    <w:rsid w:val="0057164F"/>
    <w:rsid w:val="00573625"/>
    <w:rsid w:val="00574062"/>
    <w:rsid w:val="00590994"/>
    <w:rsid w:val="00590F58"/>
    <w:rsid w:val="005A157F"/>
    <w:rsid w:val="005A43F4"/>
    <w:rsid w:val="005B03E7"/>
    <w:rsid w:val="005B1C1D"/>
    <w:rsid w:val="005B5CAB"/>
    <w:rsid w:val="005C14D2"/>
    <w:rsid w:val="00630E2A"/>
    <w:rsid w:val="0065049D"/>
    <w:rsid w:val="006529BB"/>
    <w:rsid w:val="006563B6"/>
    <w:rsid w:val="00660A31"/>
    <w:rsid w:val="006A608B"/>
    <w:rsid w:val="006B45DE"/>
    <w:rsid w:val="006C102D"/>
    <w:rsid w:val="006C1172"/>
    <w:rsid w:val="006D1070"/>
    <w:rsid w:val="006D59FE"/>
    <w:rsid w:val="006D75DE"/>
    <w:rsid w:val="00723EEC"/>
    <w:rsid w:val="00725081"/>
    <w:rsid w:val="00733510"/>
    <w:rsid w:val="0073659E"/>
    <w:rsid w:val="00746689"/>
    <w:rsid w:val="00752F94"/>
    <w:rsid w:val="00761F5A"/>
    <w:rsid w:val="007661A0"/>
    <w:rsid w:val="00767175"/>
    <w:rsid w:val="007729E6"/>
    <w:rsid w:val="007778DB"/>
    <w:rsid w:val="00777A07"/>
    <w:rsid w:val="00786C1A"/>
    <w:rsid w:val="00793C2A"/>
    <w:rsid w:val="007A059E"/>
    <w:rsid w:val="007A124F"/>
    <w:rsid w:val="007A712F"/>
    <w:rsid w:val="007B2A1B"/>
    <w:rsid w:val="007B4C6F"/>
    <w:rsid w:val="007C0C74"/>
    <w:rsid w:val="007D4A15"/>
    <w:rsid w:val="007E0C7E"/>
    <w:rsid w:val="007E3B0D"/>
    <w:rsid w:val="007F2902"/>
    <w:rsid w:val="0080693A"/>
    <w:rsid w:val="00824D7B"/>
    <w:rsid w:val="00846A40"/>
    <w:rsid w:val="00867975"/>
    <w:rsid w:val="00872AD5"/>
    <w:rsid w:val="00874457"/>
    <w:rsid w:val="008F1AF3"/>
    <w:rsid w:val="008F71D1"/>
    <w:rsid w:val="00914137"/>
    <w:rsid w:val="00920EA8"/>
    <w:rsid w:val="00931AE3"/>
    <w:rsid w:val="00954CFF"/>
    <w:rsid w:val="00964FAD"/>
    <w:rsid w:val="00967F2C"/>
    <w:rsid w:val="00995D92"/>
    <w:rsid w:val="009A0B4D"/>
    <w:rsid w:val="009B10F1"/>
    <w:rsid w:val="009B2BB4"/>
    <w:rsid w:val="009C2E32"/>
    <w:rsid w:val="009C3D2E"/>
    <w:rsid w:val="009C3D3C"/>
    <w:rsid w:val="009D38CF"/>
    <w:rsid w:val="009E0573"/>
    <w:rsid w:val="009E51C6"/>
    <w:rsid w:val="009F461C"/>
    <w:rsid w:val="009F575E"/>
    <w:rsid w:val="009F6E8F"/>
    <w:rsid w:val="00A01494"/>
    <w:rsid w:val="00A03FB1"/>
    <w:rsid w:val="00A501AB"/>
    <w:rsid w:val="00A60865"/>
    <w:rsid w:val="00A81391"/>
    <w:rsid w:val="00A8573D"/>
    <w:rsid w:val="00A86683"/>
    <w:rsid w:val="00A93E65"/>
    <w:rsid w:val="00A94ECB"/>
    <w:rsid w:val="00AA10C7"/>
    <w:rsid w:val="00AA5714"/>
    <w:rsid w:val="00AB098E"/>
    <w:rsid w:val="00AB11CC"/>
    <w:rsid w:val="00AD1A9D"/>
    <w:rsid w:val="00AD53C8"/>
    <w:rsid w:val="00AE14E6"/>
    <w:rsid w:val="00AF1912"/>
    <w:rsid w:val="00AF29DA"/>
    <w:rsid w:val="00AF4C3B"/>
    <w:rsid w:val="00B0009A"/>
    <w:rsid w:val="00B01C57"/>
    <w:rsid w:val="00B06C7D"/>
    <w:rsid w:val="00B0743B"/>
    <w:rsid w:val="00B07477"/>
    <w:rsid w:val="00B07F7F"/>
    <w:rsid w:val="00B14B06"/>
    <w:rsid w:val="00B2583E"/>
    <w:rsid w:val="00B32270"/>
    <w:rsid w:val="00B33411"/>
    <w:rsid w:val="00B368F1"/>
    <w:rsid w:val="00B40AA9"/>
    <w:rsid w:val="00B434DC"/>
    <w:rsid w:val="00B504F3"/>
    <w:rsid w:val="00B55C5F"/>
    <w:rsid w:val="00B612E1"/>
    <w:rsid w:val="00B81E22"/>
    <w:rsid w:val="00B94FC9"/>
    <w:rsid w:val="00BA06C8"/>
    <w:rsid w:val="00BB2CFE"/>
    <w:rsid w:val="00BB727F"/>
    <w:rsid w:val="00BC6D45"/>
    <w:rsid w:val="00BD1278"/>
    <w:rsid w:val="00BD60CC"/>
    <w:rsid w:val="00BF3061"/>
    <w:rsid w:val="00BF6592"/>
    <w:rsid w:val="00BF74E1"/>
    <w:rsid w:val="00C0295D"/>
    <w:rsid w:val="00C070B4"/>
    <w:rsid w:val="00C07B32"/>
    <w:rsid w:val="00C150D9"/>
    <w:rsid w:val="00C20F9D"/>
    <w:rsid w:val="00C21983"/>
    <w:rsid w:val="00C23289"/>
    <w:rsid w:val="00C36056"/>
    <w:rsid w:val="00C41153"/>
    <w:rsid w:val="00C4562E"/>
    <w:rsid w:val="00C529CF"/>
    <w:rsid w:val="00C64687"/>
    <w:rsid w:val="00C65C18"/>
    <w:rsid w:val="00C665AF"/>
    <w:rsid w:val="00C67CA8"/>
    <w:rsid w:val="00C73FD9"/>
    <w:rsid w:val="00C768A9"/>
    <w:rsid w:val="00C83AFA"/>
    <w:rsid w:val="00C96168"/>
    <w:rsid w:val="00C96DBA"/>
    <w:rsid w:val="00CD00F7"/>
    <w:rsid w:val="00CD050C"/>
    <w:rsid w:val="00CF31E9"/>
    <w:rsid w:val="00D11F43"/>
    <w:rsid w:val="00D161DD"/>
    <w:rsid w:val="00D16D8A"/>
    <w:rsid w:val="00D17268"/>
    <w:rsid w:val="00D214CA"/>
    <w:rsid w:val="00D23188"/>
    <w:rsid w:val="00D249CF"/>
    <w:rsid w:val="00D334F3"/>
    <w:rsid w:val="00D364DC"/>
    <w:rsid w:val="00D43A06"/>
    <w:rsid w:val="00D52E56"/>
    <w:rsid w:val="00D532C6"/>
    <w:rsid w:val="00D54EAD"/>
    <w:rsid w:val="00DA0701"/>
    <w:rsid w:val="00DB78DE"/>
    <w:rsid w:val="00DC2BC1"/>
    <w:rsid w:val="00DD422C"/>
    <w:rsid w:val="00E0424B"/>
    <w:rsid w:val="00E07842"/>
    <w:rsid w:val="00E0794C"/>
    <w:rsid w:val="00E323D0"/>
    <w:rsid w:val="00E57D95"/>
    <w:rsid w:val="00E65E6B"/>
    <w:rsid w:val="00E71ABB"/>
    <w:rsid w:val="00E724A1"/>
    <w:rsid w:val="00E75888"/>
    <w:rsid w:val="00E92CFA"/>
    <w:rsid w:val="00EA44C7"/>
    <w:rsid w:val="00EB172E"/>
    <w:rsid w:val="00EB3B39"/>
    <w:rsid w:val="00EC3E01"/>
    <w:rsid w:val="00ED4168"/>
    <w:rsid w:val="00ED5B6A"/>
    <w:rsid w:val="00EF2CE4"/>
    <w:rsid w:val="00EF3EE9"/>
    <w:rsid w:val="00EF7E72"/>
    <w:rsid w:val="00F05BC2"/>
    <w:rsid w:val="00F1049B"/>
    <w:rsid w:val="00F1188B"/>
    <w:rsid w:val="00F4536B"/>
    <w:rsid w:val="00F45D8D"/>
    <w:rsid w:val="00F475CE"/>
    <w:rsid w:val="00F5393C"/>
    <w:rsid w:val="00F766F8"/>
    <w:rsid w:val="00F91EDB"/>
    <w:rsid w:val="00F947F2"/>
    <w:rsid w:val="00FB27ED"/>
    <w:rsid w:val="00FE0F46"/>
    <w:rsid w:val="00FE7698"/>
    <w:rsid w:val="00FF56A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C39F4"/>
  <w15:docId w15:val="{2C075D8F-1B37-40C5-9D49-B7AD0BD3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paragraph" w:styleId="Heading1">
    <w:name w:val="heading 1"/>
    <w:basedOn w:val="Normal"/>
    <w:next w:val="Normal"/>
    <w:link w:val="Heading1Char"/>
    <w:uiPriority w:val="9"/>
    <w:qFormat/>
    <w:rsid w:val="003961C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460" w:right="632"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B504F3"/>
    <w:rPr>
      <w:color w:val="0000FF" w:themeColor="hyperlink"/>
      <w:u w:val="single"/>
    </w:rPr>
  </w:style>
  <w:style w:type="character" w:styleId="FollowedHyperlink">
    <w:name w:val="FollowedHyperlink"/>
    <w:basedOn w:val="DefaultParagraphFont"/>
    <w:uiPriority w:val="99"/>
    <w:semiHidden/>
    <w:unhideWhenUsed/>
    <w:rsid w:val="00B504F3"/>
    <w:rPr>
      <w:color w:val="800080" w:themeColor="followedHyperlink"/>
      <w:u w:val="single"/>
    </w:rPr>
  </w:style>
  <w:style w:type="paragraph" w:styleId="Header">
    <w:name w:val="header"/>
    <w:basedOn w:val="Normal"/>
    <w:link w:val="HeaderChar"/>
    <w:uiPriority w:val="99"/>
    <w:unhideWhenUsed/>
    <w:rsid w:val="003E1CBB"/>
    <w:pPr>
      <w:tabs>
        <w:tab w:val="center" w:pos="4680"/>
        <w:tab w:val="right" w:pos="9360"/>
      </w:tabs>
    </w:pPr>
  </w:style>
  <w:style w:type="character" w:customStyle="1" w:styleId="HeaderChar">
    <w:name w:val="Header Char"/>
    <w:basedOn w:val="DefaultParagraphFont"/>
    <w:link w:val="Header"/>
    <w:uiPriority w:val="99"/>
    <w:rsid w:val="003E1CBB"/>
    <w:rPr>
      <w:rFonts w:ascii="Calibri" w:eastAsia="Calibri" w:hAnsi="Calibri" w:cs="Calibri"/>
      <w:lang w:bidi="en-US"/>
    </w:rPr>
  </w:style>
  <w:style w:type="paragraph" w:styleId="Footer">
    <w:name w:val="footer"/>
    <w:basedOn w:val="Normal"/>
    <w:link w:val="FooterChar"/>
    <w:uiPriority w:val="99"/>
    <w:unhideWhenUsed/>
    <w:rsid w:val="003E1CBB"/>
    <w:pPr>
      <w:tabs>
        <w:tab w:val="center" w:pos="4680"/>
        <w:tab w:val="right" w:pos="9360"/>
      </w:tabs>
    </w:pPr>
  </w:style>
  <w:style w:type="character" w:customStyle="1" w:styleId="FooterChar">
    <w:name w:val="Footer Char"/>
    <w:basedOn w:val="DefaultParagraphFont"/>
    <w:link w:val="Footer"/>
    <w:uiPriority w:val="99"/>
    <w:rsid w:val="003E1CBB"/>
    <w:rPr>
      <w:rFonts w:ascii="Calibri" w:eastAsia="Calibri" w:hAnsi="Calibri" w:cs="Calibri"/>
      <w:lang w:bidi="en-US"/>
    </w:rPr>
  </w:style>
  <w:style w:type="character" w:customStyle="1" w:styleId="BodyTextChar">
    <w:name w:val="Body Text Char"/>
    <w:basedOn w:val="DefaultParagraphFont"/>
    <w:link w:val="BodyText"/>
    <w:uiPriority w:val="1"/>
    <w:rsid w:val="00C64687"/>
    <w:rPr>
      <w:rFonts w:ascii="Calibri" w:eastAsia="Calibri" w:hAnsi="Calibri" w:cs="Calibri"/>
      <w:sz w:val="24"/>
      <w:szCs w:val="24"/>
      <w:lang w:bidi="en-US"/>
    </w:rPr>
  </w:style>
  <w:style w:type="character" w:styleId="UnresolvedMention">
    <w:name w:val="Unresolved Mention"/>
    <w:basedOn w:val="DefaultParagraphFont"/>
    <w:uiPriority w:val="99"/>
    <w:semiHidden/>
    <w:unhideWhenUsed/>
    <w:rsid w:val="00746689"/>
    <w:rPr>
      <w:color w:val="605E5C"/>
      <w:shd w:val="clear" w:color="auto" w:fill="E1DFDD"/>
    </w:rPr>
  </w:style>
  <w:style w:type="paragraph" w:styleId="NormalWeb">
    <w:name w:val="Normal (Web)"/>
    <w:basedOn w:val="Normal"/>
    <w:uiPriority w:val="99"/>
    <w:unhideWhenUsed/>
    <w:rsid w:val="00A93E65"/>
    <w:pPr>
      <w:widowControl/>
      <w:autoSpaceDE/>
      <w:autoSpaceDN/>
    </w:pPr>
    <w:rPr>
      <w:rFonts w:eastAsiaTheme="minorHAnsi"/>
      <w:lang w:bidi="ar-SA"/>
    </w:rPr>
  </w:style>
  <w:style w:type="paragraph" w:styleId="Revision">
    <w:name w:val="Revision"/>
    <w:hidden/>
    <w:uiPriority w:val="99"/>
    <w:semiHidden/>
    <w:rsid w:val="00C41153"/>
    <w:pPr>
      <w:widowControl/>
      <w:autoSpaceDE/>
      <w:autoSpaceDN/>
    </w:pPr>
    <w:rPr>
      <w:rFonts w:ascii="Calibri" w:eastAsia="Calibri" w:hAnsi="Calibri" w:cs="Calibri"/>
      <w:lang w:bidi="en-US"/>
    </w:rPr>
  </w:style>
  <w:style w:type="character" w:styleId="CommentReference">
    <w:name w:val="annotation reference"/>
    <w:basedOn w:val="DefaultParagraphFont"/>
    <w:uiPriority w:val="99"/>
    <w:semiHidden/>
    <w:unhideWhenUsed/>
    <w:rsid w:val="00397CDF"/>
    <w:rPr>
      <w:sz w:val="16"/>
      <w:szCs w:val="16"/>
    </w:rPr>
  </w:style>
  <w:style w:type="paragraph" w:styleId="CommentText">
    <w:name w:val="annotation text"/>
    <w:basedOn w:val="Normal"/>
    <w:link w:val="CommentTextChar"/>
    <w:uiPriority w:val="99"/>
    <w:unhideWhenUsed/>
    <w:rsid w:val="00397CDF"/>
    <w:rPr>
      <w:sz w:val="20"/>
      <w:szCs w:val="20"/>
    </w:rPr>
  </w:style>
  <w:style w:type="character" w:customStyle="1" w:styleId="CommentTextChar">
    <w:name w:val="Comment Text Char"/>
    <w:basedOn w:val="DefaultParagraphFont"/>
    <w:link w:val="CommentText"/>
    <w:uiPriority w:val="99"/>
    <w:rsid w:val="00397CDF"/>
    <w:rPr>
      <w:rFonts w:ascii="Calibri" w:eastAsia="Calibri" w:hAnsi="Calibri" w:cs="Calibri"/>
      <w:sz w:val="20"/>
      <w:szCs w:val="20"/>
      <w:lang w:bidi="en-US"/>
    </w:rPr>
  </w:style>
  <w:style w:type="paragraph" w:styleId="CommentSubject">
    <w:name w:val="annotation subject"/>
    <w:basedOn w:val="CommentText"/>
    <w:next w:val="CommentText"/>
    <w:link w:val="CommentSubjectChar"/>
    <w:uiPriority w:val="99"/>
    <w:semiHidden/>
    <w:unhideWhenUsed/>
    <w:rsid w:val="00397CDF"/>
    <w:rPr>
      <w:b/>
      <w:bCs/>
    </w:rPr>
  </w:style>
  <w:style w:type="character" w:customStyle="1" w:styleId="CommentSubjectChar">
    <w:name w:val="Comment Subject Char"/>
    <w:basedOn w:val="CommentTextChar"/>
    <w:link w:val="CommentSubject"/>
    <w:uiPriority w:val="99"/>
    <w:semiHidden/>
    <w:rsid w:val="00397CDF"/>
    <w:rPr>
      <w:rFonts w:ascii="Calibri" w:eastAsia="Calibri" w:hAnsi="Calibri" w:cs="Calibri"/>
      <w:b/>
      <w:bCs/>
      <w:sz w:val="20"/>
      <w:szCs w:val="20"/>
      <w:lang w:bidi="en-US"/>
    </w:rPr>
  </w:style>
  <w:style w:type="table" w:customStyle="1" w:styleId="ListTable2-Accent51">
    <w:name w:val="List Table 2 - Accent 51"/>
    <w:basedOn w:val="TableNormal"/>
    <w:next w:val="ListTable2-Accent5"/>
    <w:uiPriority w:val="47"/>
    <w:rsid w:val="00C73FD9"/>
    <w:pPr>
      <w:widowControl/>
      <w:autoSpaceDE/>
      <w:autoSpaceDN/>
    </w:pPr>
    <w:rPr>
      <w:kern w:val="2"/>
      <w14:ligatures w14:val="standardContextual"/>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ListTable2-Accent5">
    <w:name w:val="List Table 2 Accent 5"/>
    <w:basedOn w:val="TableNormal"/>
    <w:uiPriority w:val="47"/>
    <w:rsid w:val="00C73FD9"/>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11">
    <w:name w:val="Grid Table 4 - Accent 11"/>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2">
    <w:name w:val="Grid Table 4 - Accent 12"/>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3">
    <w:name w:val="Grid Table 4 - Accent 13"/>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eGrid">
    <w:name w:val="Table Grid"/>
    <w:basedOn w:val="TableNormal"/>
    <w:uiPriority w:val="39"/>
    <w:rsid w:val="00C21983"/>
    <w:pPr>
      <w:widowControl/>
      <w:autoSpaceDE/>
      <w:autoSpaceDN/>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4">
    <w:name w:val="Grid Table 4 - Accent 14"/>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1">
    <w:name w:val="Table Grid1"/>
    <w:basedOn w:val="TableNormal"/>
    <w:next w:val="TableGrid"/>
    <w:uiPriority w:val="39"/>
    <w:rsid w:val="00C21983"/>
    <w:pPr>
      <w:widowControl/>
      <w:autoSpaceDE/>
      <w:autoSpaceDN/>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C2198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itleNTP">
    <w:name w:val="Title NTP"/>
    <w:basedOn w:val="Normal"/>
    <w:link w:val="TitleNTPChar"/>
    <w:uiPriority w:val="1"/>
    <w:qFormat/>
    <w:rsid w:val="004266E0"/>
    <w:pPr>
      <w:tabs>
        <w:tab w:val="left" w:pos="100"/>
        <w:tab w:val="left" w:pos="8409"/>
      </w:tabs>
      <w:spacing w:before="2640"/>
      <w:jc w:val="center"/>
    </w:pPr>
    <w:rPr>
      <w:b/>
      <w:color w:val="00529C"/>
      <w:sz w:val="40"/>
    </w:rPr>
  </w:style>
  <w:style w:type="character" w:customStyle="1" w:styleId="TitleNTPChar">
    <w:name w:val="Title NTP Char"/>
    <w:basedOn w:val="DefaultParagraphFont"/>
    <w:link w:val="TitleNTP"/>
    <w:uiPriority w:val="1"/>
    <w:rsid w:val="004266E0"/>
    <w:rPr>
      <w:rFonts w:ascii="Calibri" w:eastAsia="Calibri" w:hAnsi="Calibri" w:cs="Calibri"/>
      <w:b/>
      <w:color w:val="00529C"/>
      <w:sz w:val="40"/>
      <w:lang w:bidi="en-US"/>
    </w:rPr>
  </w:style>
  <w:style w:type="paragraph" w:customStyle="1" w:styleId="Heading1NTP">
    <w:name w:val="Heading 1 NTP"/>
    <w:basedOn w:val="Normal"/>
    <w:link w:val="Heading1NTPChar"/>
    <w:uiPriority w:val="1"/>
    <w:qFormat/>
    <w:rsid w:val="004266E0"/>
    <w:pPr>
      <w:keepNext/>
      <w:keepLines/>
      <w:widowControl/>
      <w:autoSpaceDE/>
      <w:autoSpaceDN/>
      <w:spacing w:before="120"/>
      <w:outlineLvl w:val="1"/>
    </w:pPr>
    <w:rPr>
      <w:rFonts w:asciiTheme="minorHAnsi" w:eastAsiaTheme="majorEastAsia" w:hAnsiTheme="minorHAnsi" w:cstheme="minorHAnsi"/>
      <w:b/>
      <w:color w:val="00529C"/>
      <w:sz w:val="28"/>
      <w:szCs w:val="28"/>
      <w:lang w:bidi="ar-SA"/>
    </w:rPr>
  </w:style>
  <w:style w:type="character" w:customStyle="1" w:styleId="Heading1NTPChar">
    <w:name w:val="Heading 1 NTP Char"/>
    <w:basedOn w:val="DefaultParagraphFont"/>
    <w:link w:val="Heading1NTP"/>
    <w:uiPriority w:val="1"/>
    <w:rsid w:val="004266E0"/>
    <w:rPr>
      <w:rFonts w:eastAsiaTheme="majorEastAsia" w:cstheme="minorHAnsi"/>
      <w:b/>
      <w:color w:val="00529C"/>
      <w:sz w:val="28"/>
      <w:szCs w:val="28"/>
    </w:rPr>
  </w:style>
  <w:style w:type="paragraph" w:customStyle="1" w:styleId="Heading2NTP">
    <w:name w:val="Heading 2 NTP"/>
    <w:basedOn w:val="Normal"/>
    <w:link w:val="Heading2NTPChar"/>
    <w:uiPriority w:val="1"/>
    <w:qFormat/>
    <w:rsid w:val="004266E0"/>
    <w:pPr>
      <w:spacing w:before="120"/>
    </w:pPr>
    <w:rPr>
      <w:rFonts w:asciiTheme="minorHAnsi" w:hAnsiTheme="minorHAnsi" w:cstheme="minorHAnsi"/>
      <w:b/>
      <w:color w:val="548DD4" w:themeColor="text2" w:themeTint="99"/>
      <w:sz w:val="26"/>
      <w:szCs w:val="26"/>
    </w:rPr>
  </w:style>
  <w:style w:type="character" w:customStyle="1" w:styleId="Heading2NTPChar">
    <w:name w:val="Heading 2 NTP Char"/>
    <w:basedOn w:val="DefaultParagraphFont"/>
    <w:link w:val="Heading2NTP"/>
    <w:uiPriority w:val="1"/>
    <w:rsid w:val="004266E0"/>
    <w:rPr>
      <w:rFonts w:eastAsia="Calibri" w:cstheme="minorHAnsi"/>
      <w:b/>
      <w:color w:val="548DD4" w:themeColor="text2" w:themeTint="99"/>
      <w:sz w:val="26"/>
      <w:szCs w:val="26"/>
      <w:lang w:bidi="en-US"/>
    </w:rPr>
  </w:style>
  <w:style w:type="character" w:customStyle="1" w:styleId="Heading1Char">
    <w:name w:val="Heading 1 Char"/>
    <w:basedOn w:val="DefaultParagraphFont"/>
    <w:link w:val="Heading1"/>
    <w:uiPriority w:val="9"/>
    <w:rsid w:val="003961C6"/>
    <w:rPr>
      <w:rFonts w:asciiTheme="majorHAnsi" w:eastAsiaTheme="majorEastAsia" w:hAnsiTheme="majorHAnsi" w:cstheme="majorBidi"/>
      <w:color w:val="365F91" w:themeColor="accent1" w:themeShade="BF"/>
      <w:sz w:val="32"/>
      <w:szCs w:val="3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286820">
      <w:bodyDiv w:val="1"/>
      <w:marLeft w:val="0"/>
      <w:marRight w:val="0"/>
      <w:marTop w:val="0"/>
      <w:marBottom w:val="0"/>
      <w:divBdr>
        <w:top w:val="none" w:sz="0" w:space="0" w:color="auto"/>
        <w:left w:val="none" w:sz="0" w:space="0" w:color="auto"/>
        <w:bottom w:val="none" w:sz="0" w:space="0" w:color="auto"/>
        <w:right w:val="none" w:sz="0" w:space="0" w:color="auto"/>
      </w:divBdr>
    </w:div>
    <w:div w:id="255721836">
      <w:bodyDiv w:val="1"/>
      <w:marLeft w:val="0"/>
      <w:marRight w:val="0"/>
      <w:marTop w:val="0"/>
      <w:marBottom w:val="0"/>
      <w:divBdr>
        <w:top w:val="none" w:sz="0" w:space="0" w:color="auto"/>
        <w:left w:val="none" w:sz="0" w:space="0" w:color="auto"/>
        <w:bottom w:val="none" w:sz="0" w:space="0" w:color="auto"/>
        <w:right w:val="none" w:sz="0" w:space="0" w:color="auto"/>
      </w:divBdr>
      <w:divsChild>
        <w:div w:id="1842430286">
          <w:marLeft w:val="187"/>
          <w:marRight w:val="0"/>
          <w:marTop w:val="0"/>
          <w:marBottom w:val="120"/>
          <w:divBdr>
            <w:top w:val="none" w:sz="0" w:space="0" w:color="auto"/>
            <w:left w:val="none" w:sz="0" w:space="0" w:color="auto"/>
            <w:bottom w:val="none" w:sz="0" w:space="0" w:color="auto"/>
            <w:right w:val="none" w:sz="0" w:space="0" w:color="auto"/>
          </w:divBdr>
        </w:div>
        <w:div w:id="997424219">
          <w:marLeft w:val="187"/>
          <w:marRight w:val="0"/>
          <w:marTop w:val="0"/>
          <w:marBottom w:val="120"/>
          <w:divBdr>
            <w:top w:val="none" w:sz="0" w:space="0" w:color="auto"/>
            <w:left w:val="none" w:sz="0" w:space="0" w:color="auto"/>
            <w:bottom w:val="none" w:sz="0" w:space="0" w:color="auto"/>
            <w:right w:val="none" w:sz="0" w:space="0" w:color="auto"/>
          </w:divBdr>
        </w:div>
        <w:div w:id="744306965">
          <w:marLeft w:val="187"/>
          <w:marRight w:val="0"/>
          <w:marTop w:val="0"/>
          <w:marBottom w:val="120"/>
          <w:divBdr>
            <w:top w:val="none" w:sz="0" w:space="0" w:color="auto"/>
            <w:left w:val="none" w:sz="0" w:space="0" w:color="auto"/>
            <w:bottom w:val="none" w:sz="0" w:space="0" w:color="auto"/>
            <w:right w:val="none" w:sz="0" w:space="0" w:color="auto"/>
          </w:divBdr>
        </w:div>
        <w:div w:id="987975967">
          <w:marLeft w:val="187"/>
          <w:marRight w:val="0"/>
          <w:marTop w:val="0"/>
          <w:marBottom w:val="120"/>
          <w:divBdr>
            <w:top w:val="none" w:sz="0" w:space="0" w:color="auto"/>
            <w:left w:val="none" w:sz="0" w:space="0" w:color="auto"/>
            <w:bottom w:val="none" w:sz="0" w:space="0" w:color="auto"/>
            <w:right w:val="none" w:sz="0" w:space="0" w:color="auto"/>
          </w:divBdr>
        </w:div>
        <w:div w:id="20522554">
          <w:marLeft w:val="187"/>
          <w:marRight w:val="0"/>
          <w:marTop w:val="0"/>
          <w:marBottom w:val="120"/>
          <w:divBdr>
            <w:top w:val="none" w:sz="0" w:space="0" w:color="auto"/>
            <w:left w:val="none" w:sz="0" w:space="0" w:color="auto"/>
            <w:bottom w:val="none" w:sz="0" w:space="0" w:color="auto"/>
            <w:right w:val="none" w:sz="0" w:space="0" w:color="auto"/>
          </w:divBdr>
        </w:div>
      </w:divsChild>
    </w:div>
    <w:div w:id="543323972">
      <w:bodyDiv w:val="1"/>
      <w:marLeft w:val="0"/>
      <w:marRight w:val="0"/>
      <w:marTop w:val="0"/>
      <w:marBottom w:val="0"/>
      <w:divBdr>
        <w:top w:val="none" w:sz="0" w:space="0" w:color="auto"/>
        <w:left w:val="none" w:sz="0" w:space="0" w:color="auto"/>
        <w:bottom w:val="none" w:sz="0" w:space="0" w:color="auto"/>
        <w:right w:val="none" w:sz="0" w:space="0" w:color="auto"/>
      </w:divBdr>
    </w:div>
    <w:div w:id="592786921">
      <w:bodyDiv w:val="1"/>
      <w:marLeft w:val="0"/>
      <w:marRight w:val="0"/>
      <w:marTop w:val="0"/>
      <w:marBottom w:val="0"/>
      <w:divBdr>
        <w:top w:val="none" w:sz="0" w:space="0" w:color="auto"/>
        <w:left w:val="none" w:sz="0" w:space="0" w:color="auto"/>
        <w:bottom w:val="none" w:sz="0" w:space="0" w:color="auto"/>
        <w:right w:val="none" w:sz="0" w:space="0" w:color="auto"/>
      </w:divBdr>
    </w:div>
    <w:div w:id="613173764">
      <w:bodyDiv w:val="1"/>
      <w:marLeft w:val="0"/>
      <w:marRight w:val="0"/>
      <w:marTop w:val="0"/>
      <w:marBottom w:val="0"/>
      <w:divBdr>
        <w:top w:val="none" w:sz="0" w:space="0" w:color="auto"/>
        <w:left w:val="none" w:sz="0" w:space="0" w:color="auto"/>
        <w:bottom w:val="none" w:sz="0" w:space="0" w:color="auto"/>
        <w:right w:val="none" w:sz="0" w:space="0" w:color="auto"/>
      </w:divBdr>
    </w:div>
    <w:div w:id="614873519">
      <w:bodyDiv w:val="1"/>
      <w:marLeft w:val="0"/>
      <w:marRight w:val="0"/>
      <w:marTop w:val="0"/>
      <w:marBottom w:val="0"/>
      <w:divBdr>
        <w:top w:val="none" w:sz="0" w:space="0" w:color="auto"/>
        <w:left w:val="none" w:sz="0" w:space="0" w:color="auto"/>
        <w:bottom w:val="none" w:sz="0" w:space="0" w:color="auto"/>
        <w:right w:val="none" w:sz="0" w:space="0" w:color="auto"/>
      </w:divBdr>
    </w:div>
    <w:div w:id="619651232">
      <w:bodyDiv w:val="1"/>
      <w:marLeft w:val="0"/>
      <w:marRight w:val="0"/>
      <w:marTop w:val="0"/>
      <w:marBottom w:val="0"/>
      <w:divBdr>
        <w:top w:val="none" w:sz="0" w:space="0" w:color="auto"/>
        <w:left w:val="none" w:sz="0" w:space="0" w:color="auto"/>
        <w:bottom w:val="none" w:sz="0" w:space="0" w:color="auto"/>
        <w:right w:val="none" w:sz="0" w:space="0" w:color="auto"/>
      </w:divBdr>
    </w:div>
    <w:div w:id="721682690">
      <w:bodyDiv w:val="1"/>
      <w:marLeft w:val="0"/>
      <w:marRight w:val="0"/>
      <w:marTop w:val="0"/>
      <w:marBottom w:val="0"/>
      <w:divBdr>
        <w:top w:val="none" w:sz="0" w:space="0" w:color="auto"/>
        <w:left w:val="none" w:sz="0" w:space="0" w:color="auto"/>
        <w:bottom w:val="none" w:sz="0" w:space="0" w:color="auto"/>
        <w:right w:val="none" w:sz="0" w:space="0" w:color="auto"/>
      </w:divBdr>
    </w:div>
    <w:div w:id="851190816">
      <w:bodyDiv w:val="1"/>
      <w:marLeft w:val="0"/>
      <w:marRight w:val="0"/>
      <w:marTop w:val="0"/>
      <w:marBottom w:val="0"/>
      <w:divBdr>
        <w:top w:val="none" w:sz="0" w:space="0" w:color="auto"/>
        <w:left w:val="none" w:sz="0" w:space="0" w:color="auto"/>
        <w:bottom w:val="none" w:sz="0" w:space="0" w:color="auto"/>
        <w:right w:val="none" w:sz="0" w:space="0" w:color="auto"/>
      </w:divBdr>
    </w:div>
    <w:div w:id="1243219605">
      <w:bodyDiv w:val="1"/>
      <w:marLeft w:val="0"/>
      <w:marRight w:val="0"/>
      <w:marTop w:val="0"/>
      <w:marBottom w:val="0"/>
      <w:divBdr>
        <w:top w:val="none" w:sz="0" w:space="0" w:color="auto"/>
        <w:left w:val="none" w:sz="0" w:space="0" w:color="auto"/>
        <w:bottom w:val="none" w:sz="0" w:space="0" w:color="auto"/>
        <w:right w:val="none" w:sz="0" w:space="0" w:color="auto"/>
      </w:divBdr>
      <w:divsChild>
        <w:div w:id="919296842">
          <w:marLeft w:val="0"/>
          <w:marRight w:val="0"/>
          <w:marTop w:val="0"/>
          <w:marBottom w:val="0"/>
          <w:divBdr>
            <w:top w:val="none" w:sz="0" w:space="0" w:color="auto"/>
            <w:left w:val="none" w:sz="0" w:space="0" w:color="auto"/>
            <w:bottom w:val="none" w:sz="0" w:space="0" w:color="auto"/>
            <w:right w:val="none" w:sz="0" w:space="0" w:color="auto"/>
          </w:divBdr>
        </w:div>
      </w:divsChild>
    </w:div>
    <w:div w:id="1294288755">
      <w:bodyDiv w:val="1"/>
      <w:marLeft w:val="0"/>
      <w:marRight w:val="0"/>
      <w:marTop w:val="0"/>
      <w:marBottom w:val="0"/>
      <w:divBdr>
        <w:top w:val="none" w:sz="0" w:space="0" w:color="auto"/>
        <w:left w:val="none" w:sz="0" w:space="0" w:color="auto"/>
        <w:bottom w:val="none" w:sz="0" w:space="0" w:color="auto"/>
        <w:right w:val="none" w:sz="0" w:space="0" w:color="auto"/>
      </w:divBdr>
    </w:div>
    <w:div w:id="1300259060">
      <w:bodyDiv w:val="1"/>
      <w:marLeft w:val="0"/>
      <w:marRight w:val="0"/>
      <w:marTop w:val="0"/>
      <w:marBottom w:val="0"/>
      <w:divBdr>
        <w:top w:val="none" w:sz="0" w:space="0" w:color="auto"/>
        <w:left w:val="none" w:sz="0" w:space="0" w:color="auto"/>
        <w:bottom w:val="none" w:sz="0" w:space="0" w:color="auto"/>
        <w:right w:val="none" w:sz="0" w:space="0" w:color="auto"/>
      </w:divBdr>
      <w:divsChild>
        <w:div w:id="1764522439">
          <w:marLeft w:val="173"/>
          <w:marRight w:val="0"/>
          <w:marTop w:val="0"/>
          <w:marBottom w:val="120"/>
          <w:divBdr>
            <w:top w:val="none" w:sz="0" w:space="0" w:color="auto"/>
            <w:left w:val="none" w:sz="0" w:space="0" w:color="auto"/>
            <w:bottom w:val="none" w:sz="0" w:space="0" w:color="auto"/>
            <w:right w:val="none" w:sz="0" w:space="0" w:color="auto"/>
          </w:divBdr>
        </w:div>
        <w:div w:id="1824077479">
          <w:marLeft w:val="173"/>
          <w:marRight w:val="0"/>
          <w:marTop w:val="0"/>
          <w:marBottom w:val="120"/>
          <w:divBdr>
            <w:top w:val="none" w:sz="0" w:space="0" w:color="auto"/>
            <w:left w:val="none" w:sz="0" w:space="0" w:color="auto"/>
            <w:bottom w:val="none" w:sz="0" w:space="0" w:color="auto"/>
            <w:right w:val="none" w:sz="0" w:space="0" w:color="auto"/>
          </w:divBdr>
        </w:div>
        <w:div w:id="1915777495">
          <w:marLeft w:val="173"/>
          <w:marRight w:val="0"/>
          <w:marTop w:val="0"/>
          <w:marBottom w:val="120"/>
          <w:divBdr>
            <w:top w:val="none" w:sz="0" w:space="0" w:color="auto"/>
            <w:left w:val="none" w:sz="0" w:space="0" w:color="auto"/>
            <w:bottom w:val="none" w:sz="0" w:space="0" w:color="auto"/>
            <w:right w:val="none" w:sz="0" w:space="0" w:color="auto"/>
          </w:divBdr>
        </w:div>
        <w:div w:id="863596427">
          <w:marLeft w:val="446"/>
          <w:marRight w:val="0"/>
          <w:marTop w:val="0"/>
          <w:marBottom w:val="120"/>
          <w:divBdr>
            <w:top w:val="none" w:sz="0" w:space="0" w:color="auto"/>
            <w:left w:val="none" w:sz="0" w:space="0" w:color="auto"/>
            <w:bottom w:val="none" w:sz="0" w:space="0" w:color="auto"/>
            <w:right w:val="none" w:sz="0" w:space="0" w:color="auto"/>
          </w:divBdr>
        </w:div>
        <w:div w:id="802431408">
          <w:marLeft w:val="446"/>
          <w:marRight w:val="0"/>
          <w:marTop w:val="0"/>
          <w:marBottom w:val="120"/>
          <w:divBdr>
            <w:top w:val="none" w:sz="0" w:space="0" w:color="auto"/>
            <w:left w:val="none" w:sz="0" w:space="0" w:color="auto"/>
            <w:bottom w:val="none" w:sz="0" w:space="0" w:color="auto"/>
            <w:right w:val="none" w:sz="0" w:space="0" w:color="auto"/>
          </w:divBdr>
        </w:div>
        <w:div w:id="1688407070">
          <w:marLeft w:val="446"/>
          <w:marRight w:val="0"/>
          <w:marTop w:val="0"/>
          <w:marBottom w:val="120"/>
          <w:divBdr>
            <w:top w:val="none" w:sz="0" w:space="0" w:color="auto"/>
            <w:left w:val="none" w:sz="0" w:space="0" w:color="auto"/>
            <w:bottom w:val="none" w:sz="0" w:space="0" w:color="auto"/>
            <w:right w:val="none" w:sz="0" w:space="0" w:color="auto"/>
          </w:divBdr>
        </w:div>
        <w:div w:id="812479095">
          <w:marLeft w:val="446"/>
          <w:marRight w:val="0"/>
          <w:marTop w:val="0"/>
          <w:marBottom w:val="120"/>
          <w:divBdr>
            <w:top w:val="none" w:sz="0" w:space="0" w:color="auto"/>
            <w:left w:val="none" w:sz="0" w:space="0" w:color="auto"/>
            <w:bottom w:val="none" w:sz="0" w:space="0" w:color="auto"/>
            <w:right w:val="none" w:sz="0" w:space="0" w:color="auto"/>
          </w:divBdr>
        </w:div>
        <w:div w:id="116291097">
          <w:marLeft w:val="446"/>
          <w:marRight w:val="0"/>
          <w:marTop w:val="0"/>
          <w:marBottom w:val="120"/>
          <w:divBdr>
            <w:top w:val="none" w:sz="0" w:space="0" w:color="auto"/>
            <w:left w:val="none" w:sz="0" w:space="0" w:color="auto"/>
            <w:bottom w:val="none" w:sz="0" w:space="0" w:color="auto"/>
            <w:right w:val="none" w:sz="0" w:space="0" w:color="auto"/>
          </w:divBdr>
        </w:div>
      </w:divsChild>
    </w:div>
    <w:div w:id="1419250270">
      <w:bodyDiv w:val="1"/>
      <w:marLeft w:val="0"/>
      <w:marRight w:val="0"/>
      <w:marTop w:val="0"/>
      <w:marBottom w:val="0"/>
      <w:divBdr>
        <w:top w:val="none" w:sz="0" w:space="0" w:color="auto"/>
        <w:left w:val="none" w:sz="0" w:space="0" w:color="auto"/>
        <w:bottom w:val="none" w:sz="0" w:space="0" w:color="auto"/>
        <w:right w:val="none" w:sz="0" w:space="0" w:color="auto"/>
      </w:divBdr>
    </w:div>
    <w:div w:id="1442454344">
      <w:bodyDiv w:val="1"/>
      <w:marLeft w:val="0"/>
      <w:marRight w:val="0"/>
      <w:marTop w:val="0"/>
      <w:marBottom w:val="0"/>
      <w:divBdr>
        <w:top w:val="none" w:sz="0" w:space="0" w:color="auto"/>
        <w:left w:val="none" w:sz="0" w:space="0" w:color="auto"/>
        <w:bottom w:val="none" w:sz="0" w:space="0" w:color="auto"/>
        <w:right w:val="none" w:sz="0" w:space="0" w:color="auto"/>
      </w:divBdr>
    </w:div>
    <w:div w:id="1562668184">
      <w:bodyDiv w:val="1"/>
      <w:marLeft w:val="0"/>
      <w:marRight w:val="0"/>
      <w:marTop w:val="0"/>
      <w:marBottom w:val="0"/>
      <w:divBdr>
        <w:top w:val="none" w:sz="0" w:space="0" w:color="auto"/>
        <w:left w:val="none" w:sz="0" w:space="0" w:color="auto"/>
        <w:bottom w:val="none" w:sz="0" w:space="0" w:color="auto"/>
        <w:right w:val="none" w:sz="0" w:space="0" w:color="auto"/>
      </w:divBdr>
    </w:div>
    <w:div w:id="1564872679">
      <w:bodyDiv w:val="1"/>
      <w:marLeft w:val="0"/>
      <w:marRight w:val="0"/>
      <w:marTop w:val="0"/>
      <w:marBottom w:val="0"/>
      <w:divBdr>
        <w:top w:val="none" w:sz="0" w:space="0" w:color="auto"/>
        <w:left w:val="none" w:sz="0" w:space="0" w:color="auto"/>
        <w:bottom w:val="none" w:sz="0" w:space="0" w:color="auto"/>
        <w:right w:val="none" w:sz="0" w:space="0" w:color="auto"/>
      </w:divBdr>
    </w:div>
    <w:div w:id="1633048814">
      <w:bodyDiv w:val="1"/>
      <w:marLeft w:val="0"/>
      <w:marRight w:val="0"/>
      <w:marTop w:val="0"/>
      <w:marBottom w:val="0"/>
      <w:divBdr>
        <w:top w:val="none" w:sz="0" w:space="0" w:color="auto"/>
        <w:left w:val="none" w:sz="0" w:space="0" w:color="auto"/>
        <w:bottom w:val="none" w:sz="0" w:space="0" w:color="auto"/>
        <w:right w:val="none" w:sz="0" w:space="0" w:color="auto"/>
      </w:divBdr>
    </w:div>
    <w:div w:id="1699888936">
      <w:bodyDiv w:val="1"/>
      <w:marLeft w:val="0"/>
      <w:marRight w:val="0"/>
      <w:marTop w:val="0"/>
      <w:marBottom w:val="0"/>
      <w:divBdr>
        <w:top w:val="none" w:sz="0" w:space="0" w:color="auto"/>
        <w:left w:val="none" w:sz="0" w:space="0" w:color="auto"/>
        <w:bottom w:val="none" w:sz="0" w:space="0" w:color="auto"/>
        <w:right w:val="none" w:sz="0" w:space="0" w:color="auto"/>
      </w:divBdr>
    </w:div>
    <w:div w:id="1782142294">
      <w:bodyDiv w:val="1"/>
      <w:marLeft w:val="0"/>
      <w:marRight w:val="0"/>
      <w:marTop w:val="0"/>
      <w:marBottom w:val="0"/>
      <w:divBdr>
        <w:top w:val="none" w:sz="0" w:space="0" w:color="auto"/>
        <w:left w:val="none" w:sz="0" w:space="0" w:color="auto"/>
        <w:bottom w:val="none" w:sz="0" w:space="0" w:color="auto"/>
        <w:right w:val="none" w:sz="0" w:space="0" w:color="auto"/>
      </w:divBdr>
    </w:div>
    <w:div w:id="1913656908">
      <w:bodyDiv w:val="1"/>
      <w:marLeft w:val="0"/>
      <w:marRight w:val="0"/>
      <w:marTop w:val="0"/>
      <w:marBottom w:val="0"/>
      <w:divBdr>
        <w:top w:val="none" w:sz="0" w:space="0" w:color="auto"/>
        <w:left w:val="none" w:sz="0" w:space="0" w:color="auto"/>
        <w:bottom w:val="none" w:sz="0" w:space="0" w:color="auto"/>
        <w:right w:val="none" w:sz="0" w:space="0" w:color="auto"/>
      </w:divBdr>
    </w:div>
    <w:div w:id="1935160484">
      <w:bodyDiv w:val="1"/>
      <w:marLeft w:val="0"/>
      <w:marRight w:val="0"/>
      <w:marTop w:val="0"/>
      <w:marBottom w:val="0"/>
      <w:divBdr>
        <w:top w:val="none" w:sz="0" w:space="0" w:color="auto"/>
        <w:left w:val="none" w:sz="0" w:space="0" w:color="auto"/>
        <w:bottom w:val="none" w:sz="0" w:space="0" w:color="auto"/>
        <w:right w:val="none" w:sz="0" w:space="0" w:color="auto"/>
      </w:divBdr>
    </w:div>
    <w:div w:id="2018846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plan-compar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medicare.gov/care-compar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1f4259d-3c17-4a13-b9c7-89319a6eeb97" xsi:nil="true"/>
    <DateandTime xmlns="5b56ea1a-d7a8-4108-bd48-b9bc8352bb84" xsi:nil="true"/>
    <lcf76f155ced4ddcb4097134ff3c332f xmlns="5b56ea1a-d7a8-4108-bd48-b9bc8352bb8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D1C175FCA24DE40AB3F308194DEC429" ma:contentTypeVersion="19" ma:contentTypeDescription="Create a new document." ma:contentTypeScope="" ma:versionID="996ba1c482c0226ab377ca032e001d02">
  <xsd:schema xmlns:xsd="http://www.w3.org/2001/XMLSchema" xmlns:xs="http://www.w3.org/2001/XMLSchema" xmlns:p="http://schemas.microsoft.com/office/2006/metadata/properties" xmlns:ns2="5b56ea1a-d7a8-4108-bd48-b9bc8352bb84" xmlns:ns3="d1f4259d-3c17-4a13-b9c7-89319a6eeb97" targetNamespace="http://schemas.microsoft.com/office/2006/metadata/properties" ma:root="true" ma:fieldsID="8558aa5bbadd4fb5dcf6f8bebbc25466" ns2:_="" ns3:_="">
    <xsd:import namespace="5b56ea1a-d7a8-4108-bd48-b9bc8352bb84"/>
    <xsd:import namespace="d1f4259d-3c17-4a13-b9c7-89319a6eeb9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3:SharedWithUsers" minOccurs="0"/>
                <xsd:element ref="ns3:SharedWithDetails" minOccurs="0"/>
                <xsd:element ref="ns2:DateandTim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56ea1a-d7a8-4108-bd48-b9bc8352b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48c427d-34c0-4c13-a893-fc79ee00c850" ma:termSetId="09814cd3-568e-fe90-9814-8d621ff8fb84" ma:anchorId="fba54fb3-c3e1-fe81-a776-ca4b69148c4d" ma:open="true" ma:isKeyword="false">
      <xsd:complexType>
        <xsd:sequence>
          <xsd:element ref="pc:Terms" minOccurs="0" maxOccurs="1"/>
        </xsd:sequence>
      </xsd:complexType>
    </xsd:element>
    <xsd:element name="DateandTime" ma:index="23" nillable="true" ma:displayName="Date and Time" ma:format="DateTime" ma:internalName="DateandTime">
      <xsd:simpleType>
        <xsd:restriction base="dms:DateTime"/>
      </xsd:simple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f4259d-3c17-4a13-b9c7-89319a6eeb9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894e3659-56bd-4940-bfdc-6cf5fa2513f3}" ma:internalName="TaxCatchAll" ma:showField="CatchAllData" ma:web="d1f4259d-3c17-4a13-b9c7-89319a6eeb9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6E44B5-CB26-4989-A3D5-B3449A543ABA}">
  <ds:schemaRefs>
    <ds:schemaRef ds:uri="http://schemas.microsoft.com/office/2006/metadata/properties"/>
    <ds:schemaRef ds:uri="http://schemas.microsoft.com/office/infopath/2007/PartnerControls"/>
    <ds:schemaRef ds:uri="d1f4259d-3c17-4a13-b9c7-89319a6eeb97"/>
    <ds:schemaRef ds:uri="5b56ea1a-d7a8-4108-bd48-b9bc8352bb84"/>
  </ds:schemaRefs>
</ds:datastoreItem>
</file>

<file path=customXml/itemProps2.xml><?xml version="1.0" encoding="utf-8"?>
<ds:datastoreItem xmlns:ds="http://schemas.openxmlformats.org/officeDocument/2006/customXml" ds:itemID="{7FF8C64A-930F-46D6-9DF6-F2B4CCAF753B}">
  <ds:schemaRefs>
    <ds:schemaRef ds:uri="http://schemas.openxmlformats.org/officeDocument/2006/bibliography"/>
  </ds:schemaRefs>
</ds:datastoreItem>
</file>

<file path=customXml/itemProps3.xml><?xml version="1.0" encoding="utf-8"?>
<ds:datastoreItem xmlns:ds="http://schemas.openxmlformats.org/officeDocument/2006/customXml" ds:itemID="{FC1AFFE7-23E4-4DBC-96BE-48F833820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56ea1a-d7a8-4108-bd48-b9bc8352bb84"/>
    <ds:schemaRef ds:uri="d1f4259d-3c17-4a13-b9c7-89319a6eeb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EB19B7-93A5-481B-A53A-908A70A4F6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1722</Words>
  <Characters>9820</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2019-2020 Standard Drug Costs</vt:lpstr>
    </vt:vector>
  </TitlesOfParts>
  <Company>CMS</Company>
  <LinksUpToDate>false</LinksUpToDate>
  <CharactersWithSpaces>11519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 Standard Drug Costs</dc:title>
  <dc:subject>2019 and 2020 Drug Costs</dc:subject>
  <dc:creator>National Training Program</dc:creator>
  <cp:keywords>Drug costs</cp:keywords>
  <cp:lastModifiedBy>DE</cp:lastModifiedBy>
  <cp:revision>9</cp:revision>
  <dcterms:created xsi:type="dcterms:W3CDTF">2024-11-13T20:37:00Z</dcterms:created>
  <dcterms:modified xsi:type="dcterms:W3CDTF">2024-12-19T16:51:00Z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2020-01-14T00:00:00Z</vt:filetime>
  </property>
  <property fmtid="{D5CDD505-2E9C-101B-9397-08002B2CF9AE}" pid="3" name="Creator">
    <vt:lpwstr>Acrobat PDFMaker 15 for Word</vt:lpwstr>
  </property>
  <property fmtid="{D5CDD505-2E9C-101B-9397-08002B2CF9AE}" pid="4" name="LastSaved">
    <vt:filetime>2020-10-27T00:00:00Z</vt:filetime>
  </property>
  <property fmtid="{D5CDD505-2E9C-101B-9397-08002B2CF9AE}" pid="5" name="ContentTypeId">
    <vt:lpwstr>0x0101000D1C175FCA24DE40AB3F308194DEC429</vt:lpwstr>
  </property>
</Properties>
</file>